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5480E3" w14:textId="77777777" w:rsidR="00E62A94" w:rsidRPr="00E62A94" w:rsidRDefault="00E62A94" w:rsidP="00E62A94">
      <w:pPr>
        <w:jc w:val="center"/>
        <w:rPr>
          <w:rFonts w:ascii="Tw Cen MT" w:eastAsia="Calibri" w:hAnsi="Tw Cen MT"/>
          <w:b/>
          <w:sz w:val="40"/>
          <w:szCs w:val="40"/>
          <w:lang w:eastAsia="en-US"/>
        </w:rPr>
      </w:pPr>
      <w:r w:rsidRPr="00E62A94">
        <w:rPr>
          <w:rFonts w:ascii="Tw Cen MT" w:eastAsia="Calibri" w:hAnsi="Tw Cen MT"/>
          <w:b/>
          <w:sz w:val="40"/>
          <w:szCs w:val="40"/>
          <w:lang w:eastAsia="en-US"/>
        </w:rPr>
        <w:t>Concernant la prestation</w:t>
      </w:r>
    </w:p>
    <w:p w14:paraId="04A677B3" w14:textId="72D405CF" w:rsidR="00E62A94" w:rsidRPr="00E62A94" w:rsidRDefault="004643C9" w:rsidP="005F20E1">
      <w:pPr>
        <w:jc w:val="center"/>
        <w:rPr>
          <w:rFonts w:ascii="Tw Cen MT" w:eastAsia="Trebuchet MS" w:hAnsi="Tw Cen MT" w:cs="Trebuchet MS"/>
          <w:color w:val="000000"/>
          <w:sz w:val="20"/>
          <w:szCs w:val="22"/>
          <w:lang w:eastAsia="en-US"/>
        </w:rPr>
      </w:pPr>
      <w:r w:rsidRPr="00E62A94" w:rsidDel="004643C9">
        <w:rPr>
          <w:rFonts w:ascii="Tw Cen MT" w:eastAsia="Trebuchet MS" w:hAnsi="Tw Cen MT" w:cs="Trebuchet MS"/>
          <w:color w:val="000000"/>
          <w:sz w:val="20"/>
          <w:szCs w:val="22"/>
          <w:lang w:eastAsia="en-US"/>
        </w:rPr>
        <w:t xml:space="preserve"> </w:t>
      </w:r>
      <w:r w:rsidR="00E62A94" w:rsidRPr="00E62A94">
        <w:rPr>
          <w:rFonts w:ascii="Tw Cen MT" w:eastAsia="Calibri" w:hAnsi="Tw Cen MT"/>
          <w:sz w:val="40"/>
          <w:szCs w:val="40"/>
          <w:lang w:eastAsia="en-US"/>
        </w:rPr>
        <w:t>« </w:t>
      </w:r>
      <w:r w:rsidR="00A45E3C">
        <w:rPr>
          <w:rFonts w:ascii="Tw Cen MT" w:eastAsia="Calibri" w:hAnsi="Tw Cen MT"/>
          <w:sz w:val="40"/>
          <w:szCs w:val="40"/>
          <w:lang w:eastAsia="en-US"/>
        </w:rPr>
        <w:t>Marché</w:t>
      </w:r>
      <w:r w:rsidR="000F1A1C">
        <w:rPr>
          <w:rFonts w:ascii="Tw Cen MT" w:eastAsia="Calibri" w:hAnsi="Tw Cen MT"/>
          <w:sz w:val="40"/>
          <w:szCs w:val="40"/>
          <w:lang w:eastAsia="en-US"/>
        </w:rPr>
        <w:t xml:space="preserve"> relatif à une m</w:t>
      </w:r>
      <w:r w:rsidR="00E62A94" w:rsidRPr="000F1A1C">
        <w:rPr>
          <w:rFonts w:ascii="Tw Cen MT" w:eastAsia="Calibri" w:hAnsi="Tw Cen MT"/>
          <w:sz w:val="40"/>
          <w:szCs w:val="40"/>
          <w:lang w:eastAsia="en-US"/>
        </w:rPr>
        <w:t xml:space="preserve">ission d’appui de l’agence de Nouakchott de l’AFD à la supervision de la composante électrification rurale </w:t>
      </w:r>
      <w:r w:rsidR="005017F1" w:rsidRPr="000F1A1C">
        <w:rPr>
          <w:rFonts w:ascii="Tw Cen MT" w:eastAsia="Calibri" w:hAnsi="Tw Cen MT"/>
          <w:sz w:val="40"/>
          <w:szCs w:val="40"/>
          <w:lang w:eastAsia="en-US"/>
        </w:rPr>
        <w:t>du</w:t>
      </w:r>
      <w:r w:rsidR="00E62A94" w:rsidRPr="000F1A1C">
        <w:rPr>
          <w:rFonts w:ascii="Tw Cen MT" w:eastAsia="Calibri" w:hAnsi="Tw Cen MT"/>
          <w:sz w:val="40"/>
          <w:szCs w:val="40"/>
          <w:lang w:eastAsia="en-US"/>
        </w:rPr>
        <w:t xml:space="preserve"> </w:t>
      </w:r>
      <w:r w:rsidR="005017F1" w:rsidRPr="000F1A1C">
        <w:rPr>
          <w:rFonts w:ascii="Tw Cen MT" w:eastAsia="Calibri" w:hAnsi="Tw Cen MT"/>
          <w:sz w:val="40"/>
          <w:szCs w:val="40"/>
          <w:lang w:eastAsia="en-US"/>
        </w:rPr>
        <w:t>P</w:t>
      </w:r>
      <w:r w:rsidR="00E62A94" w:rsidRPr="000F1A1C">
        <w:rPr>
          <w:rFonts w:ascii="Tw Cen MT" w:eastAsia="Calibri" w:hAnsi="Tw Cen MT"/>
          <w:sz w:val="40"/>
          <w:szCs w:val="40"/>
          <w:lang w:eastAsia="en-US"/>
        </w:rPr>
        <w:t>rojet RIMDIR</w:t>
      </w:r>
      <w:r w:rsidR="000F1A1C">
        <w:rPr>
          <w:rFonts w:ascii="Tw Cen MT" w:eastAsia="Calibri" w:hAnsi="Tw Cen MT"/>
          <w:sz w:val="36"/>
          <w:szCs w:val="40"/>
          <w:lang w:eastAsia="en-US"/>
        </w:rPr>
        <w:t xml:space="preserve"> </w:t>
      </w:r>
      <w:r w:rsidR="000F1A1C">
        <w:rPr>
          <w:rFonts w:ascii="Tw Cen MT" w:eastAsia="Calibri" w:hAnsi="Tw Cen MT"/>
          <w:sz w:val="40"/>
          <w:szCs w:val="40"/>
          <w:lang w:eastAsia="en-US"/>
        </w:rPr>
        <w:t>en</w:t>
      </w:r>
      <w:r w:rsidR="00E62A94" w:rsidRPr="000F1A1C">
        <w:rPr>
          <w:rFonts w:ascii="Tw Cen MT" w:eastAsia="Calibri" w:hAnsi="Tw Cen MT"/>
          <w:sz w:val="36"/>
          <w:szCs w:val="40"/>
          <w:lang w:eastAsia="en-US"/>
        </w:rPr>
        <w:t xml:space="preserve"> MAURITANIE </w:t>
      </w:r>
      <w:r w:rsidR="00E62A94" w:rsidRPr="00E62A94">
        <w:rPr>
          <w:rFonts w:ascii="Tw Cen MT" w:eastAsia="Calibri" w:hAnsi="Tw Cen MT"/>
          <w:sz w:val="40"/>
          <w:szCs w:val="40"/>
          <w:lang w:eastAsia="en-US"/>
        </w:rPr>
        <w:t>»</w:t>
      </w:r>
    </w:p>
    <w:p w14:paraId="014AB91E" w14:textId="77777777" w:rsidR="00CC247C" w:rsidRPr="000F1A1C" w:rsidRDefault="00CC247C" w:rsidP="000F1A1C">
      <w:pPr>
        <w:pStyle w:val="Titre1"/>
        <w:rPr>
          <w:b w:val="0"/>
        </w:rPr>
      </w:pPr>
      <w:r w:rsidRPr="00A950D3">
        <w:t xml:space="preserve">Contexte </w:t>
      </w:r>
    </w:p>
    <w:p w14:paraId="2AAC6904" w14:textId="7001B7A6" w:rsidR="00E62A94" w:rsidRPr="000F1A1C" w:rsidRDefault="00E62A94" w:rsidP="000F1A1C">
      <w:pPr>
        <w:pStyle w:val="Titre2"/>
        <w:rPr>
          <w:b w:val="0"/>
        </w:rPr>
      </w:pPr>
      <w:r w:rsidRPr="000F1A1C">
        <w:t>Présentation de l’AFD </w:t>
      </w:r>
    </w:p>
    <w:p w14:paraId="7BF0C7D8" w14:textId="77777777" w:rsidR="00E62A94" w:rsidRPr="000F1A1C" w:rsidRDefault="00E62A94" w:rsidP="00E62A94">
      <w:pPr>
        <w:spacing w:before="100" w:beforeAutospacing="1" w:after="100" w:afterAutospacing="1"/>
        <w:jc w:val="both"/>
        <w:rPr>
          <w:rFonts w:ascii="Tw Cen MT" w:hAnsi="Tw Cen MT"/>
          <w:sz w:val="22"/>
          <w:szCs w:val="22"/>
        </w:rPr>
      </w:pPr>
      <w:r w:rsidRPr="000F1A1C">
        <w:rPr>
          <w:rFonts w:ascii="Tw Cen MT" w:hAnsi="Tw Cen MT"/>
          <w:sz w:val="22"/>
          <w:szCs w:val="22"/>
        </w:rPr>
        <w:t>Le groupe Agence française de développement (AFD) est un établissement public qui finance, accompagne et accélère les transitions vers un monde plus juste et durable. Plateforme française d’aide publique au développement et d’investissement de développement durable, nous construisons avec nos partenaires des solutions partagées, avec et pour les populations du Sud.</w:t>
      </w:r>
    </w:p>
    <w:p w14:paraId="5F2FA061" w14:textId="77777777" w:rsidR="00E62A94" w:rsidRPr="000F1A1C" w:rsidRDefault="00E62A94" w:rsidP="00E62A94">
      <w:pPr>
        <w:jc w:val="both"/>
        <w:rPr>
          <w:rFonts w:ascii="Tw Cen MT" w:hAnsi="Tw Cen MT"/>
          <w:sz w:val="22"/>
          <w:szCs w:val="22"/>
        </w:rPr>
      </w:pPr>
      <w:r w:rsidRPr="000F1A1C">
        <w:rPr>
          <w:rFonts w:ascii="Tw Cen MT" w:hAnsi="Tw Cen MT"/>
          <w:sz w:val="22"/>
          <w:szCs w:val="22"/>
        </w:rPr>
        <w:t>Nos équipes sont engagées dans plus de 4 000 projets sur le terrain, dans les Outre-mer et dans 115 pays, pour les biens communs de l’humanité – le climat, la biodiversité, la paix, l’égalité femmes-hommes, l’éducation ou encore la santé. Nous contribuons ainsi à l’engagement de la France et des Français en faveur des Objectifs de développement durable. Pour un monde en commun.</w:t>
      </w:r>
    </w:p>
    <w:p w14:paraId="41288D45" w14:textId="77777777" w:rsidR="00E62A94" w:rsidRPr="000F1A1C" w:rsidRDefault="00E62A94" w:rsidP="00E62A94">
      <w:pPr>
        <w:jc w:val="both"/>
        <w:rPr>
          <w:rFonts w:ascii="Tw Cen MT" w:hAnsi="Tw Cen MT"/>
          <w:sz w:val="22"/>
          <w:szCs w:val="22"/>
          <w:u w:val="single"/>
        </w:rPr>
      </w:pPr>
    </w:p>
    <w:p w14:paraId="4BC05659" w14:textId="77777777" w:rsidR="00E62A94" w:rsidRPr="000F1A1C" w:rsidRDefault="00E62A94" w:rsidP="00E62A94">
      <w:pPr>
        <w:jc w:val="both"/>
        <w:rPr>
          <w:rFonts w:ascii="Tw Cen MT" w:hAnsi="Tw Cen MT"/>
          <w:sz w:val="22"/>
          <w:szCs w:val="22"/>
        </w:rPr>
      </w:pPr>
      <w:r w:rsidRPr="000F1A1C">
        <w:rPr>
          <w:rFonts w:ascii="Tw Cen MT" w:hAnsi="Tw Cen MT"/>
          <w:sz w:val="22"/>
          <w:szCs w:val="22"/>
        </w:rPr>
        <w:t xml:space="preserve">Au moyen de </w:t>
      </w:r>
      <w:hyperlink r:id="rId8" w:tooltip="Subventions AFD" w:history="1">
        <w:r w:rsidRPr="000F1A1C">
          <w:rPr>
            <w:rFonts w:ascii="Tw Cen MT" w:hAnsi="Tw Cen MT"/>
            <w:b/>
            <w:bCs/>
            <w:sz w:val="22"/>
            <w:szCs w:val="22"/>
          </w:rPr>
          <w:t>subventions,</w:t>
        </w:r>
        <w:r w:rsidRPr="000F1A1C">
          <w:rPr>
            <w:rFonts w:ascii="Tw Cen MT" w:hAnsi="Tw Cen MT"/>
            <w:sz w:val="22"/>
            <w:szCs w:val="22"/>
          </w:rPr>
          <w:t xml:space="preserve"> </w:t>
        </w:r>
      </w:hyperlink>
      <w:r w:rsidRPr="000F1A1C">
        <w:rPr>
          <w:rFonts w:ascii="Tw Cen MT" w:hAnsi="Tw Cen MT"/>
          <w:sz w:val="22"/>
          <w:szCs w:val="22"/>
        </w:rPr>
        <w:t xml:space="preserve">de </w:t>
      </w:r>
      <w:hyperlink r:id="rId9" w:tooltip="Prêts AFD" w:history="1">
        <w:r w:rsidRPr="000F1A1C">
          <w:rPr>
            <w:rFonts w:ascii="Tw Cen MT" w:hAnsi="Tw Cen MT"/>
            <w:b/>
            <w:bCs/>
            <w:sz w:val="22"/>
            <w:szCs w:val="22"/>
          </w:rPr>
          <w:t>prêts,</w:t>
        </w:r>
        <w:r w:rsidRPr="000F1A1C">
          <w:rPr>
            <w:rFonts w:ascii="Tw Cen MT" w:hAnsi="Tw Cen MT"/>
            <w:sz w:val="22"/>
            <w:szCs w:val="22"/>
          </w:rPr>
          <w:t xml:space="preserve"> </w:t>
        </w:r>
      </w:hyperlink>
      <w:r w:rsidRPr="000F1A1C">
        <w:rPr>
          <w:rFonts w:ascii="Tw Cen MT" w:hAnsi="Tw Cen MT"/>
          <w:sz w:val="22"/>
          <w:szCs w:val="22"/>
        </w:rPr>
        <w:t xml:space="preserve">de </w:t>
      </w:r>
      <w:hyperlink r:id="rId10" w:tooltip="garanties AFD" w:history="1">
        <w:r w:rsidRPr="000F1A1C">
          <w:rPr>
            <w:rFonts w:ascii="Tw Cen MT" w:hAnsi="Tw Cen MT"/>
            <w:b/>
            <w:bCs/>
            <w:sz w:val="22"/>
            <w:szCs w:val="22"/>
          </w:rPr>
          <w:t>fonds de garantie</w:t>
        </w:r>
        <w:r w:rsidRPr="000F1A1C">
          <w:rPr>
            <w:rFonts w:ascii="Tw Cen MT" w:hAnsi="Tw Cen MT"/>
            <w:sz w:val="22"/>
            <w:szCs w:val="22"/>
          </w:rPr>
          <w:t xml:space="preserve"> </w:t>
        </w:r>
      </w:hyperlink>
      <w:r w:rsidRPr="000F1A1C">
        <w:rPr>
          <w:rFonts w:ascii="Tw Cen MT" w:hAnsi="Tw Cen MT"/>
          <w:sz w:val="22"/>
          <w:szCs w:val="22"/>
        </w:rPr>
        <w:t xml:space="preserve">ou de </w:t>
      </w:r>
      <w:hyperlink r:id="rId11" w:tooltip="C2D AFD" w:history="1">
        <w:r w:rsidRPr="000F1A1C">
          <w:rPr>
            <w:rFonts w:ascii="Tw Cen MT" w:hAnsi="Tw Cen MT"/>
            <w:b/>
            <w:bCs/>
            <w:sz w:val="22"/>
            <w:szCs w:val="22"/>
          </w:rPr>
          <w:t>contrats de désendettement et de développement,</w:t>
        </w:r>
        <w:r w:rsidRPr="000F1A1C">
          <w:rPr>
            <w:rFonts w:ascii="Tw Cen MT" w:hAnsi="Tw Cen MT"/>
            <w:sz w:val="22"/>
            <w:szCs w:val="22"/>
          </w:rPr>
          <w:t xml:space="preserve"> </w:t>
        </w:r>
      </w:hyperlink>
      <w:r w:rsidRPr="000F1A1C">
        <w:rPr>
          <w:rFonts w:ascii="Tw Cen MT" w:hAnsi="Tw Cen MT"/>
          <w:sz w:val="22"/>
          <w:szCs w:val="22"/>
        </w:rPr>
        <w:t xml:space="preserve">l’AFD finance des projets, des programmes et des études et accompagne ses partenaires du Sud dans le </w:t>
      </w:r>
      <w:hyperlink r:id="rId12" w:tooltip="renforcement des capacités AFD" w:history="1">
        <w:r w:rsidRPr="000F1A1C">
          <w:rPr>
            <w:rFonts w:ascii="Tw Cen MT" w:hAnsi="Tw Cen MT"/>
            <w:b/>
            <w:bCs/>
            <w:sz w:val="22"/>
            <w:szCs w:val="22"/>
          </w:rPr>
          <w:t>renforcement de leurs capacités.</w:t>
        </w:r>
        <w:r w:rsidRPr="000F1A1C">
          <w:rPr>
            <w:rFonts w:ascii="Tw Cen MT" w:hAnsi="Tw Cen MT"/>
            <w:sz w:val="22"/>
            <w:szCs w:val="22"/>
          </w:rPr>
          <w:t xml:space="preserve"> </w:t>
        </w:r>
      </w:hyperlink>
    </w:p>
    <w:p w14:paraId="2CBD7CB5" w14:textId="77777777" w:rsidR="00E62A94" w:rsidRPr="000F1A1C" w:rsidRDefault="00E62A94" w:rsidP="00E62A94">
      <w:pPr>
        <w:jc w:val="both"/>
        <w:rPr>
          <w:rFonts w:ascii="Tw Cen MT" w:hAnsi="Tw Cen MT"/>
          <w:sz w:val="18"/>
          <w:szCs w:val="22"/>
        </w:rPr>
      </w:pPr>
    </w:p>
    <w:p w14:paraId="7C660690" w14:textId="2625BE09" w:rsidR="00E62A94" w:rsidRPr="000F1A1C" w:rsidRDefault="00E62A94" w:rsidP="00E62A94">
      <w:pPr>
        <w:jc w:val="both"/>
        <w:rPr>
          <w:rFonts w:ascii="Tw Cen MT" w:hAnsi="Tw Cen MT"/>
          <w:sz w:val="22"/>
          <w:szCs w:val="22"/>
        </w:rPr>
      </w:pPr>
      <w:r w:rsidRPr="000F1A1C">
        <w:rPr>
          <w:rFonts w:ascii="Tw Cen MT" w:hAnsi="Tw Cen MT"/>
          <w:sz w:val="22"/>
          <w:szCs w:val="22"/>
        </w:rPr>
        <w:t xml:space="preserve">Sa filiale </w:t>
      </w:r>
      <w:r w:rsidR="00CC247C" w:rsidRPr="000F1A1C">
        <w:rPr>
          <w:rFonts w:ascii="Tw Cen MT" w:hAnsi="Tw Cen MT"/>
          <w:b/>
          <w:bCs/>
          <w:sz w:val="22"/>
          <w:szCs w:val="22"/>
          <w:u w:val="single"/>
        </w:rPr>
        <w:t>Proparco</w:t>
      </w:r>
      <w:r w:rsidR="00CC247C" w:rsidRPr="000F1A1C">
        <w:rPr>
          <w:rFonts w:ascii="Tw Cen MT" w:hAnsi="Tw Cen MT"/>
          <w:sz w:val="22"/>
          <w:szCs w:val="22"/>
        </w:rPr>
        <w:t xml:space="preserve"> </w:t>
      </w:r>
      <w:r w:rsidRPr="000F1A1C">
        <w:rPr>
          <w:rFonts w:ascii="Tw Cen MT" w:hAnsi="Tw Cen MT"/>
          <w:sz w:val="22"/>
          <w:szCs w:val="22"/>
        </w:rPr>
        <w:t>(</w:t>
      </w:r>
      <w:hyperlink r:id="rId13" w:history="1">
        <w:r w:rsidRPr="000F1A1C">
          <w:rPr>
            <w:rFonts w:ascii="Tw Cen MT" w:hAnsi="Tw Cen MT"/>
            <w:color w:val="0000FF"/>
            <w:sz w:val="22"/>
            <w:szCs w:val="22"/>
            <w:u w:val="single"/>
          </w:rPr>
          <w:t>www.proparco.fr</w:t>
        </w:r>
      </w:hyperlink>
      <w:r w:rsidRPr="000F1A1C">
        <w:rPr>
          <w:rFonts w:ascii="Tw Cen MT" w:hAnsi="Tw Cen MT"/>
          <w:sz w:val="22"/>
          <w:szCs w:val="22"/>
        </w:rPr>
        <w:t>)</w:t>
      </w:r>
      <w:r w:rsidRPr="000F1A1C">
        <w:rPr>
          <w:rFonts w:ascii="Tw Cen MT" w:hAnsi="Tw Cen MT"/>
          <w:sz w:val="22"/>
          <w:szCs w:val="22"/>
          <w:u w:val="single"/>
        </w:rPr>
        <w:t xml:space="preserve"> </w:t>
      </w:r>
      <w:r w:rsidRPr="000F1A1C">
        <w:rPr>
          <w:rFonts w:ascii="Tw Cen MT" w:hAnsi="Tw Cen MT"/>
          <w:sz w:val="22"/>
          <w:szCs w:val="22"/>
        </w:rPr>
        <w:t xml:space="preserve">soutient les investissements privés. Dédiée à mobilisation de l’expertise publique française, </w:t>
      </w:r>
      <w:r w:rsidRPr="000F1A1C">
        <w:rPr>
          <w:rFonts w:ascii="Tw Cen MT" w:hAnsi="Tw Cen MT"/>
          <w:b/>
          <w:sz w:val="22"/>
          <w:szCs w:val="22"/>
          <w:u w:val="single"/>
        </w:rPr>
        <w:t>Expertise France</w:t>
      </w:r>
      <w:r w:rsidRPr="000F1A1C">
        <w:rPr>
          <w:rFonts w:ascii="Tw Cen MT" w:hAnsi="Tw Cen MT"/>
          <w:sz w:val="22"/>
          <w:szCs w:val="22"/>
        </w:rPr>
        <w:t xml:space="preserve"> (</w:t>
      </w:r>
      <w:hyperlink r:id="rId14" w:history="1">
        <w:r w:rsidRPr="000F1A1C">
          <w:rPr>
            <w:rFonts w:ascii="Tw Cen MT" w:hAnsi="Tw Cen MT"/>
            <w:color w:val="0000FF"/>
            <w:sz w:val="22"/>
            <w:szCs w:val="22"/>
            <w:u w:val="single"/>
          </w:rPr>
          <w:t>www.expertisefrance.fr</w:t>
        </w:r>
      </w:hyperlink>
      <w:r w:rsidRPr="000F1A1C">
        <w:rPr>
          <w:rFonts w:ascii="Tw Cen MT" w:hAnsi="Tw Cen MT"/>
          <w:sz w:val="22"/>
          <w:szCs w:val="22"/>
        </w:rPr>
        <w:t>) devrait rejoindre le groupe AFD en 2022.</w:t>
      </w:r>
    </w:p>
    <w:p w14:paraId="7116C835" w14:textId="77777777" w:rsidR="00E62A94" w:rsidRPr="000F1A1C" w:rsidRDefault="00E62A94" w:rsidP="00E62A94">
      <w:pPr>
        <w:jc w:val="both"/>
        <w:rPr>
          <w:rFonts w:ascii="Tw Cen MT" w:hAnsi="Tw Cen MT"/>
          <w:sz w:val="18"/>
          <w:szCs w:val="22"/>
        </w:rPr>
      </w:pPr>
    </w:p>
    <w:p w14:paraId="120B89E0" w14:textId="77777777" w:rsidR="00E62A94" w:rsidRPr="000F1A1C" w:rsidRDefault="00E62A94" w:rsidP="00E62A94">
      <w:pPr>
        <w:jc w:val="both"/>
        <w:rPr>
          <w:rFonts w:ascii="Tw Cen MT" w:hAnsi="Tw Cen MT"/>
          <w:sz w:val="22"/>
          <w:szCs w:val="22"/>
        </w:rPr>
      </w:pPr>
      <w:r w:rsidRPr="000F1A1C">
        <w:rPr>
          <w:rFonts w:ascii="Tw Cen MT" w:hAnsi="Tw Cen MT"/>
          <w:sz w:val="22"/>
          <w:szCs w:val="22"/>
        </w:rPr>
        <w:t>L’AFD collabore également avec les réseaux académiques français et internationaux pour alimenter les débats et réflexions prospectives sur le développement.</w:t>
      </w:r>
    </w:p>
    <w:p w14:paraId="5FB50A26" w14:textId="77777777" w:rsidR="00E62A94" w:rsidRPr="000F1A1C" w:rsidRDefault="00E62A94" w:rsidP="00E62A94">
      <w:pPr>
        <w:jc w:val="both"/>
        <w:rPr>
          <w:rFonts w:ascii="Tw Cen MT" w:hAnsi="Tw Cen MT"/>
          <w:sz w:val="18"/>
          <w:szCs w:val="22"/>
        </w:rPr>
      </w:pPr>
    </w:p>
    <w:p w14:paraId="3F53415A" w14:textId="1A2481D8" w:rsidR="00E62A94" w:rsidRPr="000F1A1C" w:rsidRDefault="00E62A94" w:rsidP="00E62A94">
      <w:pPr>
        <w:jc w:val="both"/>
        <w:rPr>
          <w:rFonts w:ascii="Tw Cen MT" w:hAnsi="Tw Cen MT"/>
          <w:sz w:val="22"/>
          <w:szCs w:val="22"/>
        </w:rPr>
      </w:pPr>
      <w:r w:rsidRPr="000F1A1C">
        <w:rPr>
          <w:rFonts w:ascii="Tw Cen MT" w:hAnsi="Tw Cen MT"/>
          <w:sz w:val="22"/>
          <w:szCs w:val="22"/>
        </w:rPr>
        <w:t xml:space="preserve">Elle assure la gestion du </w:t>
      </w:r>
      <w:r w:rsidRPr="000F1A1C">
        <w:rPr>
          <w:rFonts w:ascii="Tw Cen MT" w:hAnsi="Tw Cen MT"/>
          <w:b/>
          <w:bCs/>
          <w:sz w:val="22"/>
          <w:szCs w:val="22"/>
          <w:u w:val="single"/>
        </w:rPr>
        <w:t>Fonds français pour l’environnement mondial (FFEM)</w:t>
      </w:r>
      <w:r w:rsidRPr="000F1A1C">
        <w:rPr>
          <w:rFonts w:ascii="Tw Cen MT" w:hAnsi="Tw Cen MT"/>
          <w:sz w:val="22"/>
          <w:szCs w:val="22"/>
        </w:rPr>
        <w:t>, qui cofinance des</w:t>
      </w:r>
      <w:r w:rsidR="003B6B8C">
        <w:rPr>
          <w:rFonts w:ascii="Tw Cen MT" w:hAnsi="Tw Cen MT"/>
          <w:sz w:val="22"/>
          <w:szCs w:val="22"/>
        </w:rPr>
        <w:t xml:space="preserve"> </w:t>
      </w:r>
      <w:r w:rsidRPr="000F1A1C">
        <w:rPr>
          <w:rFonts w:ascii="Tw Cen MT" w:hAnsi="Tw Cen MT"/>
          <w:sz w:val="22"/>
          <w:szCs w:val="22"/>
        </w:rPr>
        <w:t>projets conciliant environnement et développement.</w:t>
      </w:r>
    </w:p>
    <w:p w14:paraId="77FEE299" w14:textId="77777777" w:rsidR="00E62A94" w:rsidRPr="000F1A1C" w:rsidRDefault="00E62A94" w:rsidP="00E62A94">
      <w:pPr>
        <w:jc w:val="both"/>
        <w:rPr>
          <w:rFonts w:ascii="Tw Cen MT" w:hAnsi="Tw Cen MT"/>
          <w:sz w:val="18"/>
          <w:szCs w:val="22"/>
        </w:rPr>
      </w:pPr>
    </w:p>
    <w:p w14:paraId="0847FDAC" w14:textId="77777777" w:rsidR="00E62A94" w:rsidRDefault="00E62A94" w:rsidP="00E61079">
      <w:pPr>
        <w:jc w:val="both"/>
        <w:rPr>
          <w:rFonts w:ascii="Tw Cen MT" w:hAnsi="Tw Cen MT"/>
          <w:sz w:val="22"/>
          <w:szCs w:val="22"/>
        </w:rPr>
      </w:pPr>
      <w:r w:rsidRPr="000F1A1C">
        <w:rPr>
          <w:rFonts w:ascii="Tw Cen MT" w:hAnsi="Tw Cen MT"/>
          <w:sz w:val="22"/>
          <w:szCs w:val="22"/>
        </w:rPr>
        <w:t xml:space="preserve">L’ensemble des informations relatives à l’AFD, et notamment sa Charte d’Ethique que le prestataire est fortement invité à consulter, sont accessibles sur le lien suivant : </w:t>
      </w:r>
      <w:hyperlink r:id="rId15" w:history="1">
        <w:r w:rsidRPr="000F1A1C">
          <w:rPr>
            <w:rFonts w:ascii="Tw Cen MT" w:hAnsi="Tw Cen MT"/>
            <w:color w:val="0000FF"/>
            <w:sz w:val="22"/>
            <w:szCs w:val="22"/>
            <w:u w:val="single"/>
          </w:rPr>
          <w:t>www.afd.fr</w:t>
        </w:r>
      </w:hyperlink>
      <w:r w:rsidRPr="000F1A1C">
        <w:rPr>
          <w:rFonts w:ascii="Tw Cen MT" w:hAnsi="Tw Cen MT"/>
          <w:sz w:val="22"/>
          <w:szCs w:val="22"/>
        </w:rPr>
        <w:t>.</w:t>
      </w:r>
    </w:p>
    <w:p w14:paraId="4CDB6D26" w14:textId="77777777" w:rsidR="00E61079" w:rsidRPr="000F1A1C" w:rsidRDefault="00E61079" w:rsidP="00E61079">
      <w:pPr>
        <w:jc w:val="both"/>
        <w:rPr>
          <w:rFonts w:ascii="Tw Cen MT" w:hAnsi="Tw Cen MT"/>
          <w:sz w:val="18"/>
          <w:szCs w:val="22"/>
        </w:rPr>
      </w:pPr>
    </w:p>
    <w:p w14:paraId="18F73774" w14:textId="77777777" w:rsidR="00E61079" w:rsidRDefault="00E62A94" w:rsidP="00E61079">
      <w:pPr>
        <w:spacing w:after="160" w:line="259" w:lineRule="auto"/>
        <w:jc w:val="both"/>
        <w:rPr>
          <w:rFonts w:ascii="Tw Cen MT" w:hAnsi="Tw Cen MT"/>
          <w:sz w:val="22"/>
          <w:szCs w:val="22"/>
        </w:rPr>
      </w:pPr>
      <w:r w:rsidRPr="000F1A1C">
        <w:rPr>
          <w:rFonts w:ascii="Tw Cen MT" w:hAnsi="Tw Cen MT"/>
          <w:sz w:val="22"/>
          <w:szCs w:val="22"/>
        </w:rPr>
        <w:t>Le Groupe Agence Française de Développement intervient en République Islamique de Mauritanie (RIM) depuis 1978. La stratégie d’intervention est de renforcer la cohésion sociale et soutenir une croissance partagée. Dans ce contexte, l’intervention de l’AFD en Mauritanie porte sur l’accès aux services de base : eau/assainissement, énergie, santé, éducation et formation professionnelle/insertion, décentralisation, entreprenariat, développement local et rural et sécurité alimentaire. Par ailleurs, l’AFD est amenée à soutenir le secteur de la gouvernance afin de renforcer l’Etat de droit mais également à déployer des financements de réponse aux crises, notamment avec l’afflux de réfugiés à l’Est de la Mauritanie à la frontière malienne.</w:t>
      </w:r>
    </w:p>
    <w:p w14:paraId="5F171F27" w14:textId="77777777" w:rsidR="00E62A94" w:rsidRPr="000F1A1C" w:rsidRDefault="00E62A94" w:rsidP="00E61079">
      <w:pPr>
        <w:spacing w:after="160" w:line="259" w:lineRule="auto"/>
        <w:jc w:val="both"/>
        <w:rPr>
          <w:rFonts w:ascii="Tw Cen MT" w:hAnsi="Tw Cen MT"/>
          <w:sz w:val="22"/>
          <w:szCs w:val="22"/>
        </w:rPr>
      </w:pPr>
      <w:r w:rsidRPr="000F1A1C">
        <w:rPr>
          <w:rFonts w:ascii="Tw Cen MT" w:hAnsi="Tw Cen MT"/>
          <w:sz w:val="22"/>
          <w:szCs w:val="22"/>
        </w:rPr>
        <w:t>Les axes transversaux « lutte contre le changement climatique et la préservation de la biodiversité » et « genre » sont également des marqueurs forts de l’activité de l’Agence.  L’Agence AFD de Nouakchott est rattachée à la direction régionale « Grand Sahel ».</w:t>
      </w:r>
    </w:p>
    <w:p w14:paraId="1512F5FC" w14:textId="77777777" w:rsidR="00E62A94" w:rsidRPr="000F1A1C" w:rsidRDefault="00E62A94" w:rsidP="00E62A94">
      <w:pPr>
        <w:jc w:val="both"/>
        <w:rPr>
          <w:rFonts w:ascii="Tw Cen MT" w:hAnsi="Tw Cen MT"/>
          <w:sz w:val="22"/>
          <w:szCs w:val="22"/>
        </w:rPr>
      </w:pPr>
      <w:r w:rsidRPr="000F1A1C">
        <w:rPr>
          <w:rFonts w:ascii="Tw Cen MT" w:hAnsi="Tw Cen MT"/>
          <w:sz w:val="22"/>
          <w:szCs w:val="22"/>
        </w:rPr>
        <w:t>L'Agence AFD de Nouakchott connait depuis 3 ans une croissance importante de ses activités, avec la reprise des prêts souverains, rythme qui devrait se confirmer pour les cinq prochaines années. Avec 90M€ engagés par an, le portefeuille est très diversifié. L’AFD est le troisième partenaire bilatéral de la Mauritanie et son action est reconnue et appréciée.</w:t>
      </w:r>
    </w:p>
    <w:p w14:paraId="13737DB8" w14:textId="77777777" w:rsidR="00E62A94" w:rsidRDefault="00E62A94" w:rsidP="00E62A94">
      <w:pPr>
        <w:jc w:val="both"/>
        <w:rPr>
          <w:rFonts w:ascii="Tw Cen MT" w:hAnsi="Tw Cen MT"/>
        </w:rPr>
      </w:pPr>
    </w:p>
    <w:p w14:paraId="50AAC606" w14:textId="77777777" w:rsidR="008A1D30" w:rsidRPr="000F1A1C" w:rsidRDefault="008A1D30" w:rsidP="00A950D3">
      <w:pPr>
        <w:pStyle w:val="Titre2"/>
      </w:pPr>
      <w:r w:rsidRPr="000F1A1C">
        <w:t>Les financements européens délégués à l’AFD en Mauritanie</w:t>
      </w:r>
    </w:p>
    <w:p w14:paraId="427BA746" w14:textId="77777777" w:rsidR="008A1D30" w:rsidRPr="008A1D30" w:rsidRDefault="008A1D30" w:rsidP="008A1D30">
      <w:pPr>
        <w:jc w:val="both"/>
        <w:rPr>
          <w:rFonts w:ascii="Calibri" w:hAnsi="Calibri" w:cs="Calibri"/>
          <w:b/>
          <w:sz w:val="14"/>
          <w:szCs w:val="22"/>
        </w:rPr>
      </w:pPr>
    </w:p>
    <w:p w14:paraId="1CCD1321" w14:textId="0595F086" w:rsidR="008A1D30" w:rsidRPr="000F1A1C" w:rsidRDefault="008A1D30" w:rsidP="008A1D30">
      <w:pPr>
        <w:jc w:val="both"/>
        <w:rPr>
          <w:rFonts w:ascii="Tw Cen MT" w:hAnsi="Tw Cen MT"/>
          <w:sz w:val="22"/>
        </w:rPr>
      </w:pPr>
      <w:r w:rsidRPr="000F1A1C">
        <w:rPr>
          <w:rFonts w:ascii="Tw Cen MT" w:hAnsi="Tw Cen MT"/>
          <w:sz w:val="22"/>
        </w:rPr>
        <w:lastRenderedPageBreak/>
        <w:t>Depuis 2008, L’Agence Française de Développement est accréditée par l’Union Européenne pour gérer selon ses propres procédures les fonds qui lui sont délégués</w:t>
      </w:r>
      <w:r w:rsidR="00C81485">
        <w:rPr>
          <w:rFonts w:ascii="Tw Cen MT" w:hAnsi="Tw Cen MT"/>
          <w:sz w:val="22"/>
        </w:rPr>
        <w:t>,</w:t>
      </w:r>
      <w:r w:rsidRPr="000F1A1C">
        <w:rPr>
          <w:rFonts w:ascii="Tw Cen MT" w:hAnsi="Tw Cen MT"/>
          <w:sz w:val="22"/>
        </w:rPr>
        <w:t xml:space="preserve"> dans une logique de redevabilité vis-à-vis de la Commission tout au long du cycle de projet. </w:t>
      </w:r>
    </w:p>
    <w:p w14:paraId="0263A5A5" w14:textId="77777777" w:rsidR="008A1D30" w:rsidRPr="000F1A1C" w:rsidRDefault="008A1D30" w:rsidP="008A1D30">
      <w:pPr>
        <w:jc w:val="both"/>
        <w:rPr>
          <w:rFonts w:ascii="Tw Cen MT" w:hAnsi="Tw Cen MT"/>
          <w:sz w:val="16"/>
        </w:rPr>
      </w:pPr>
    </w:p>
    <w:p w14:paraId="43D65773" w14:textId="77777777" w:rsidR="008A1D30" w:rsidRPr="000F1A1C" w:rsidRDefault="008A1D30" w:rsidP="008A1D30">
      <w:pPr>
        <w:jc w:val="both"/>
        <w:rPr>
          <w:rFonts w:ascii="Tw Cen MT" w:hAnsi="Tw Cen MT"/>
          <w:sz w:val="22"/>
          <w:szCs w:val="22"/>
        </w:rPr>
      </w:pPr>
      <w:r w:rsidRPr="000F1A1C">
        <w:rPr>
          <w:rFonts w:ascii="Tw Cen MT" w:hAnsi="Tw Cen MT"/>
          <w:sz w:val="22"/>
          <w:szCs w:val="22"/>
        </w:rPr>
        <w:t>Dans le domaine des infrastructures, l’UE a octroyé à l’AFD quatre financements délégués pour la réalisation des projets suivant</w:t>
      </w:r>
      <w:r w:rsidR="0066399A">
        <w:rPr>
          <w:rFonts w:ascii="Tw Cen MT" w:hAnsi="Tw Cen MT"/>
          <w:sz w:val="22"/>
          <w:szCs w:val="22"/>
        </w:rPr>
        <w:t>s,</w:t>
      </w:r>
      <w:r w:rsidRPr="000F1A1C">
        <w:rPr>
          <w:rFonts w:ascii="Tw Cen MT" w:hAnsi="Tw Cen MT"/>
          <w:sz w:val="22"/>
          <w:szCs w:val="22"/>
        </w:rPr>
        <w:t xml:space="preserve"> </w:t>
      </w:r>
      <w:r w:rsidR="0066399A">
        <w:rPr>
          <w:rFonts w:ascii="Tw Cen MT" w:hAnsi="Tw Cen MT"/>
          <w:sz w:val="22"/>
          <w:szCs w:val="22"/>
        </w:rPr>
        <w:t xml:space="preserve">majoritairement achevés </w:t>
      </w:r>
      <w:r w:rsidRPr="000F1A1C">
        <w:rPr>
          <w:rFonts w:ascii="Tw Cen MT" w:hAnsi="Tw Cen MT"/>
          <w:sz w:val="22"/>
          <w:szCs w:val="22"/>
        </w:rPr>
        <w:t>:</w:t>
      </w:r>
    </w:p>
    <w:p w14:paraId="10E5AC93" w14:textId="15516B18" w:rsidR="008A1D30" w:rsidRPr="000F1A1C" w:rsidRDefault="008A1D30" w:rsidP="008A1D30">
      <w:pPr>
        <w:numPr>
          <w:ilvl w:val="0"/>
          <w:numId w:val="31"/>
        </w:numPr>
        <w:ind w:left="426" w:hanging="284"/>
        <w:jc w:val="both"/>
        <w:rPr>
          <w:rFonts w:ascii="Tw Cen MT" w:hAnsi="Tw Cen MT"/>
          <w:sz w:val="22"/>
          <w:szCs w:val="22"/>
        </w:rPr>
      </w:pPr>
      <w:r w:rsidRPr="000F1A1C">
        <w:rPr>
          <w:rFonts w:ascii="Tw Cen MT" w:hAnsi="Tw Cen MT"/>
          <w:sz w:val="22"/>
          <w:szCs w:val="22"/>
        </w:rPr>
        <w:t xml:space="preserve">Le projet (achevé) d’électrification des réseaux isolés de Kiffa et Guérou à partir d’une centrale hybride d’un montant global de 23.8 </w:t>
      </w:r>
      <w:r w:rsidR="00CC247C">
        <w:rPr>
          <w:rFonts w:ascii="Tw Cen MT" w:hAnsi="Tw Cen MT"/>
          <w:sz w:val="22"/>
          <w:szCs w:val="22"/>
        </w:rPr>
        <w:t xml:space="preserve">M€ </w:t>
      </w:r>
      <w:r w:rsidRPr="000F1A1C">
        <w:rPr>
          <w:rFonts w:ascii="Tw Cen MT" w:hAnsi="Tw Cen MT"/>
          <w:sz w:val="22"/>
          <w:szCs w:val="22"/>
        </w:rPr>
        <w:t xml:space="preserve">dont 4.8 </w:t>
      </w:r>
      <w:r w:rsidR="00CC247C">
        <w:rPr>
          <w:rFonts w:ascii="Tw Cen MT" w:hAnsi="Tw Cen MT"/>
          <w:sz w:val="22"/>
          <w:szCs w:val="22"/>
        </w:rPr>
        <w:t xml:space="preserve">M€ </w:t>
      </w:r>
      <w:r w:rsidRPr="000F1A1C">
        <w:rPr>
          <w:rFonts w:ascii="Tw Cen MT" w:hAnsi="Tw Cen MT"/>
          <w:sz w:val="22"/>
          <w:szCs w:val="22"/>
        </w:rPr>
        <w:t xml:space="preserve">de fonds délégués de l’UE. La convention de délégation a été signée avec l’UE </w:t>
      </w:r>
      <w:r w:rsidR="00CC247C">
        <w:rPr>
          <w:rFonts w:ascii="Tw Cen MT" w:hAnsi="Tw Cen MT"/>
          <w:sz w:val="22"/>
          <w:szCs w:val="22"/>
        </w:rPr>
        <w:t xml:space="preserve">en </w:t>
      </w:r>
      <w:r w:rsidRPr="000F1A1C">
        <w:rPr>
          <w:rFonts w:ascii="Tw Cen MT" w:hAnsi="Tw Cen MT"/>
          <w:sz w:val="22"/>
          <w:szCs w:val="22"/>
        </w:rPr>
        <w:t>2013. La maîtrise d’ouvrage déléguée était assurée par la Société Mauritanienne d’Electricité (SOMELEC).</w:t>
      </w:r>
    </w:p>
    <w:p w14:paraId="561A4D0E" w14:textId="6CA17636" w:rsidR="008A1D30" w:rsidRPr="000F1A1C" w:rsidRDefault="008A1D30" w:rsidP="008A1D30">
      <w:pPr>
        <w:numPr>
          <w:ilvl w:val="0"/>
          <w:numId w:val="31"/>
        </w:numPr>
        <w:ind w:left="426" w:hanging="284"/>
        <w:jc w:val="both"/>
        <w:rPr>
          <w:rFonts w:ascii="Tw Cen MT" w:hAnsi="Tw Cen MT"/>
          <w:sz w:val="22"/>
          <w:szCs w:val="22"/>
        </w:rPr>
      </w:pPr>
      <w:r w:rsidRPr="000F1A1C">
        <w:rPr>
          <w:rFonts w:ascii="Tw Cen MT" w:hAnsi="Tw Cen MT"/>
          <w:sz w:val="22"/>
          <w:szCs w:val="22"/>
        </w:rPr>
        <w:t xml:space="preserve">Le projet (en phase de cloture) d’amélioration de l’accès à l’eau potable et à l’assainissement des populations rurales et semi-urbaines dans 5 Wilayas, d’un montant global de 14.6 </w:t>
      </w:r>
      <w:r w:rsidR="00CC247C">
        <w:rPr>
          <w:rFonts w:ascii="Tw Cen MT" w:hAnsi="Tw Cen MT"/>
          <w:sz w:val="22"/>
          <w:szCs w:val="22"/>
        </w:rPr>
        <w:t xml:space="preserve">M€ </w:t>
      </w:r>
      <w:r w:rsidRPr="000F1A1C">
        <w:rPr>
          <w:rFonts w:ascii="Tw Cen MT" w:hAnsi="Tw Cen MT"/>
          <w:sz w:val="22"/>
          <w:szCs w:val="22"/>
        </w:rPr>
        <w:t xml:space="preserve">dont 10.6 </w:t>
      </w:r>
      <w:r w:rsidR="00CC247C">
        <w:rPr>
          <w:rFonts w:ascii="Tw Cen MT" w:hAnsi="Tw Cen MT"/>
          <w:sz w:val="22"/>
          <w:szCs w:val="22"/>
        </w:rPr>
        <w:t xml:space="preserve">M€ </w:t>
      </w:r>
      <w:r w:rsidRPr="000F1A1C">
        <w:rPr>
          <w:rFonts w:ascii="Tw Cen MT" w:hAnsi="Tw Cen MT"/>
          <w:sz w:val="22"/>
          <w:szCs w:val="22"/>
        </w:rPr>
        <w:t xml:space="preserve">de fonds délégués de l’UE. La convention de délégation a été signée avec l’UE </w:t>
      </w:r>
      <w:r w:rsidR="00CC247C">
        <w:rPr>
          <w:rFonts w:ascii="Tw Cen MT" w:hAnsi="Tw Cen MT"/>
          <w:sz w:val="22"/>
          <w:szCs w:val="22"/>
        </w:rPr>
        <w:t xml:space="preserve">en </w:t>
      </w:r>
      <w:r w:rsidRPr="000F1A1C">
        <w:rPr>
          <w:rFonts w:ascii="Tw Cen MT" w:hAnsi="Tw Cen MT"/>
          <w:sz w:val="22"/>
          <w:szCs w:val="22"/>
        </w:rPr>
        <w:t>2013. La maîtrise d’ouvrage était assurée par le Ministère de l’Hydraulique et de l’Assainissement.</w:t>
      </w:r>
    </w:p>
    <w:p w14:paraId="4A0B0121" w14:textId="724330FF" w:rsidR="008A1D30" w:rsidRPr="000F1A1C" w:rsidRDefault="008A1D30" w:rsidP="008A1D30">
      <w:pPr>
        <w:numPr>
          <w:ilvl w:val="0"/>
          <w:numId w:val="31"/>
        </w:numPr>
        <w:ind w:left="426" w:hanging="284"/>
        <w:jc w:val="both"/>
        <w:rPr>
          <w:rFonts w:ascii="Tw Cen MT" w:hAnsi="Tw Cen MT"/>
          <w:sz w:val="22"/>
          <w:szCs w:val="22"/>
        </w:rPr>
      </w:pPr>
      <w:r w:rsidRPr="000F1A1C">
        <w:rPr>
          <w:rFonts w:ascii="Tw Cen MT" w:hAnsi="Tw Cen MT"/>
          <w:sz w:val="22"/>
          <w:szCs w:val="22"/>
        </w:rPr>
        <w:t xml:space="preserve">Le projet (achevé) d’amélioration de l’accès à l’eau potable et à l’assainissement des populations de l’Aftout Echargui, cofinancé par la BID et le FADES et d’un montant global de 90 </w:t>
      </w:r>
      <w:r w:rsidR="00CC247C">
        <w:rPr>
          <w:rFonts w:ascii="Tw Cen MT" w:hAnsi="Tw Cen MT"/>
          <w:sz w:val="22"/>
          <w:szCs w:val="22"/>
        </w:rPr>
        <w:t xml:space="preserve">M€ </w:t>
      </w:r>
      <w:r w:rsidRPr="000F1A1C">
        <w:rPr>
          <w:rFonts w:ascii="Tw Cen MT" w:hAnsi="Tw Cen MT"/>
          <w:sz w:val="22"/>
          <w:szCs w:val="22"/>
        </w:rPr>
        <w:t xml:space="preserve">dont 4.71 </w:t>
      </w:r>
      <w:r w:rsidR="00CC247C">
        <w:rPr>
          <w:rFonts w:ascii="Tw Cen MT" w:hAnsi="Tw Cen MT"/>
          <w:sz w:val="22"/>
          <w:szCs w:val="22"/>
        </w:rPr>
        <w:t xml:space="preserve">M€ </w:t>
      </w:r>
      <w:r w:rsidRPr="000F1A1C">
        <w:rPr>
          <w:rFonts w:ascii="Tw Cen MT" w:hAnsi="Tw Cen MT"/>
          <w:sz w:val="22"/>
          <w:szCs w:val="22"/>
        </w:rPr>
        <w:t xml:space="preserve">de fonds délégués de l’UE et 22.3 </w:t>
      </w:r>
      <w:r w:rsidR="00CC247C">
        <w:rPr>
          <w:rFonts w:ascii="Tw Cen MT" w:hAnsi="Tw Cen MT"/>
          <w:sz w:val="22"/>
          <w:szCs w:val="22"/>
        </w:rPr>
        <w:t xml:space="preserve">M€ </w:t>
      </w:r>
      <w:r w:rsidRPr="000F1A1C">
        <w:rPr>
          <w:rFonts w:ascii="Tw Cen MT" w:hAnsi="Tw Cen MT"/>
          <w:sz w:val="22"/>
          <w:szCs w:val="22"/>
        </w:rPr>
        <w:t xml:space="preserve">de Crédit AFD. La convention de délégation a été signée avec l’UE </w:t>
      </w:r>
      <w:r w:rsidR="00CC247C">
        <w:rPr>
          <w:rFonts w:ascii="Tw Cen MT" w:hAnsi="Tw Cen MT"/>
          <w:sz w:val="22"/>
          <w:szCs w:val="22"/>
        </w:rPr>
        <w:t xml:space="preserve">en </w:t>
      </w:r>
      <w:r w:rsidRPr="000F1A1C">
        <w:rPr>
          <w:rFonts w:ascii="Tw Cen MT" w:hAnsi="Tw Cen MT"/>
          <w:sz w:val="22"/>
          <w:szCs w:val="22"/>
        </w:rPr>
        <w:t>2013. La maîtrise d’ouvrage était assurée par le Ministère de l’Hydraulique et de l’Assainissement.</w:t>
      </w:r>
    </w:p>
    <w:p w14:paraId="2337302C" w14:textId="77777777" w:rsidR="008A1D30" w:rsidRPr="000F1A1C" w:rsidRDefault="00A53E2E" w:rsidP="008A1D30">
      <w:pPr>
        <w:numPr>
          <w:ilvl w:val="0"/>
          <w:numId w:val="31"/>
        </w:numPr>
        <w:ind w:left="426" w:hanging="284"/>
        <w:jc w:val="both"/>
        <w:rPr>
          <w:rFonts w:ascii="Tw Cen MT" w:hAnsi="Tw Cen MT"/>
          <w:sz w:val="22"/>
          <w:szCs w:val="22"/>
        </w:rPr>
      </w:pPr>
      <w:r w:rsidRPr="000F1A1C">
        <w:rPr>
          <w:rFonts w:ascii="Tw Cen MT" w:hAnsi="Tw Cen MT"/>
          <w:sz w:val="22"/>
          <w:szCs w:val="22"/>
        </w:rPr>
        <w:t>E</w:t>
      </w:r>
      <w:r w:rsidR="008A1D30" w:rsidRPr="000F1A1C">
        <w:rPr>
          <w:rFonts w:ascii="Tw Cen MT" w:hAnsi="Tw Cen MT"/>
          <w:sz w:val="22"/>
          <w:szCs w:val="22"/>
        </w:rPr>
        <w:t>nfin, le projet d’électrification rurale au sud-est de la Mauritanie</w:t>
      </w:r>
      <w:r w:rsidR="0066399A">
        <w:rPr>
          <w:rFonts w:ascii="Tw Cen MT" w:hAnsi="Tw Cen MT"/>
          <w:sz w:val="22"/>
          <w:szCs w:val="22"/>
        </w:rPr>
        <w:t xml:space="preserve">, en </w:t>
      </w:r>
      <w:r w:rsidR="00E61079">
        <w:rPr>
          <w:rFonts w:ascii="Tw Cen MT" w:hAnsi="Tw Cen MT"/>
          <w:sz w:val="22"/>
          <w:szCs w:val="22"/>
        </w:rPr>
        <w:t xml:space="preserve">exécution et </w:t>
      </w:r>
      <w:r w:rsidR="008A1D30" w:rsidRPr="000F1A1C">
        <w:rPr>
          <w:rFonts w:ascii="Tw Cen MT" w:hAnsi="Tw Cen MT"/>
          <w:sz w:val="22"/>
          <w:szCs w:val="22"/>
        </w:rPr>
        <w:t>co-financé par l’AFD (7</w:t>
      </w:r>
      <w:r w:rsidR="00CC247C">
        <w:rPr>
          <w:rFonts w:ascii="Tw Cen MT" w:hAnsi="Tw Cen MT"/>
          <w:sz w:val="22"/>
          <w:szCs w:val="22"/>
        </w:rPr>
        <w:t xml:space="preserve"> </w:t>
      </w:r>
      <w:r w:rsidR="008A1D30" w:rsidRPr="000F1A1C">
        <w:rPr>
          <w:rFonts w:ascii="Tw Cen MT" w:hAnsi="Tw Cen MT"/>
          <w:sz w:val="22"/>
          <w:szCs w:val="22"/>
        </w:rPr>
        <w:t>M€) et l’UE dans le cadre de deux phases de délégation de fonds d’un total de 17</w:t>
      </w:r>
      <w:r w:rsidR="00CC247C">
        <w:rPr>
          <w:rFonts w:ascii="Tw Cen MT" w:hAnsi="Tw Cen MT"/>
          <w:sz w:val="22"/>
          <w:szCs w:val="22"/>
        </w:rPr>
        <w:t xml:space="preserve"> </w:t>
      </w:r>
      <w:r w:rsidR="008A1D30" w:rsidRPr="000F1A1C">
        <w:rPr>
          <w:rFonts w:ascii="Tw Cen MT" w:hAnsi="Tw Cen MT"/>
          <w:sz w:val="22"/>
          <w:szCs w:val="22"/>
        </w:rPr>
        <w:t>M€. D’un montant total de 24</w:t>
      </w:r>
      <w:r w:rsidR="00CC247C">
        <w:rPr>
          <w:rFonts w:ascii="Tw Cen MT" w:hAnsi="Tw Cen MT"/>
          <w:sz w:val="22"/>
          <w:szCs w:val="22"/>
        </w:rPr>
        <w:t xml:space="preserve"> </w:t>
      </w:r>
      <w:r w:rsidR="008A1D30" w:rsidRPr="000F1A1C">
        <w:rPr>
          <w:rFonts w:ascii="Tw Cen MT" w:hAnsi="Tw Cen MT"/>
          <w:sz w:val="22"/>
          <w:szCs w:val="22"/>
        </w:rPr>
        <w:t xml:space="preserve">M€, ce Projet </w:t>
      </w:r>
      <w:r w:rsidR="0066399A">
        <w:rPr>
          <w:rFonts w:ascii="Tw Cen MT" w:hAnsi="Tw Cen MT"/>
          <w:sz w:val="22"/>
          <w:szCs w:val="22"/>
        </w:rPr>
        <w:t xml:space="preserve">(objet du mandat) </w:t>
      </w:r>
      <w:r w:rsidR="008A1D30" w:rsidRPr="000F1A1C">
        <w:rPr>
          <w:rFonts w:ascii="Tw Cen MT" w:hAnsi="Tw Cen MT"/>
          <w:sz w:val="22"/>
          <w:szCs w:val="22"/>
        </w:rPr>
        <w:t xml:space="preserve">s’inscrit dans le programme </w:t>
      </w:r>
      <w:r w:rsidR="00B843B1" w:rsidRPr="000F1A1C">
        <w:rPr>
          <w:rFonts w:ascii="Tw Cen MT" w:hAnsi="Tw Cen MT"/>
          <w:sz w:val="22"/>
          <w:szCs w:val="22"/>
        </w:rPr>
        <w:t xml:space="preserve">plus large </w:t>
      </w:r>
      <w:r w:rsidR="008A1D30" w:rsidRPr="000F1A1C">
        <w:rPr>
          <w:rFonts w:ascii="Tw Cen MT" w:hAnsi="Tw Cen MT"/>
          <w:sz w:val="22"/>
          <w:szCs w:val="22"/>
        </w:rPr>
        <w:t>d’infrastructures d’appui à la filière agropastoral</w:t>
      </w:r>
      <w:r w:rsidR="00B843B1" w:rsidRPr="000F1A1C">
        <w:rPr>
          <w:rFonts w:ascii="Tw Cen MT" w:hAnsi="Tw Cen MT"/>
          <w:sz w:val="22"/>
          <w:szCs w:val="22"/>
        </w:rPr>
        <w:t>e</w:t>
      </w:r>
      <w:r w:rsidR="008A1D30" w:rsidRPr="000F1A1C">
        <w:rPr>
          <w:rFonts w:ascii="Tw Cen MT" w:hAnsi="Tw Cen MT"/>
          <w:sz w:val="22"/>
          <w:szCs w:val="22"/>
        </w:rPr>
        <w:t xml:space="preserve"> de l’UE dénommé « RIMDIR</w:t>
      </w:r>
      <w:r w:rsidR="008A1D30" w:rsidRPr="000F1A1C">
        <w:rPr>
          <w:rFonts w:ascii="Tw Cen MT" w:hAnsi="Tw Cen MT"/>
          <w:sz w:val="22"/>
          <w:szCs w:val="22"/>
          <w:vertAlign w:val="superscript"/>
        </w:rPr>
        <w:footnoteReference w:id="1"/>
      </w:r>
      <w:r w:rsidR="008A1D30" w:rsidRPr="000F1A1C">
        <w:rPr>
          <w:rFonts w:ascii="Tw Cen MT" w:hAnsi="Tw Cen MT"/>
          <w:sz w:val="22"/>
          <w:szCs w:val="22"/>
        </w:rPr>
        <w:t xml:space="preserve"> », en tant que </w:t>
      </w:r>
      <w:r w:rsidR="00B843B1" w:rsidRPr="000F1A1C">
        <w:rPr>
          <w:rFonts w:ascii="Tw Cen MT" w:hAnsi="Tw Cen MT"/>
          <w:sz w:val="22"/>
          <w:szCs w:val="22"/>
        </w:rPr>
        <w:t xml:space="preserve">composante </w:t>
      </w:r>
      <w:r w:rsidR="008A1D30" w:rsidRPr="000F1A1C">
        <w:rPr>
          <w:rFonts w:ascii="Tw Cen MT" w:hAnsi="Tw Cen MT"/>
          <w:sz w:val="22"/>
          <w:szCs w:val="22"/>
        </w:rPr>
        <w:t>relative à l’énergie. La coopération technique belge ENABEL assure la coordination de l’ensemble du programme RIMDIR.</w:t>
      </w:r>
      <w:r w:rsidR="008A1D30" w:rsidRPr="000F1A1C" w:rsidDel="002B71F5">
        <w:rPr>
          <w:rFonts w:ascii="Tw Cen MT" w:hAnsi="Tw Cen MT"/>
          <w:sz w:val="22"/>
          <w:szCs w:val="22"/>
        </w:rPr>
        <w:t xml:space="preserve"> </w:t>
      </w:r>
      <w:r w:rsidR="008A1D30" w:rsidRPr="000F1A1C">
        <w:rPr>
          <w:rFonts w:ascii="Tw Cen MT" w:hAnsi="Tw Cen MT"/>
          <w:sz w:val="22"/>
          <w:szCs w:val="22"/>
        </w:rPr>
        <w:t>La première convention de délégation a été signée avec l’UE le 17 juin 2019. La maîtrise d’ouvrage est assurée par la SOMELEC.</w:t>
      </w:r>
    </w:p>
    <w:p w14:paraId="173FD204" w14:textId="77777777" w:rsidR="008A1D30" w:rsidRPr="003246EE" w:rsidRDefault="008A1D30" w:rsidP="000F1A1C">
      <w:pPr>
        <w:jc w:val="both"/>
        <w:rPr>
          <w:rFonts w:ascii="Tw Cen MT" w:hAnsi="Tw Cen MT"/>
        </w:rPr>
      </w:pPr>
    </w:p>
    <w:p w14:paraId="78195B9C" w14:textId="16BBACD6" w:rsidR="00CC247C" w:rsidRPr="00A950D3" w:rsidRDefault="00E62A94" w:rsidP="000F1A1C">
      <w:pPr>
        <w:pStyle w:val="Titre1"/>
      </w:pPr>
      <w:r w:rsidRPr="000F1A1C">
        <w:t>Présentation du projet RIMDIR </w:t>
      </w:r>
    </w:p>
    <w:p w14:paraId="7FDC61EF" w14:textId="38E24D82" w:rsidR="00E62A94" w:rsidRPr="000F1A1C" w:rsidRDefault="00CC247C" w:rsidP="000F1A1C">
      <w:pPr>
        <w:pStyle w:val="Titre2"/>
        <w:rPr>
          <w:b w:val="0"/>
          <w:sz w:val="28"/>
          <w:szCs w:val="28"/>
        </w:rPr>
      </w:pPr>
      <w:r w:rsidRPr="000F1A1C">
        <w:rPr>
          <w:sz w:val="28"/>
          <w:szCs w:val="28"/>
        </w:rPr>
        <w:t>Le contexte sectoriel</w:t>
      </w:r>
    </w:p>
    <w:p w14:paraId="44A60E2D" w14:textId="77777777" w:rsidR="00E3135F" w:rsidRPr="000F1A1C" w:rsidRDefault="00E3135F" w:rsidP="000F1A1C">
      <w:pPr>
        <w:tabs>
          <w:tab w:val="left" w:pos="1910"/>
        </w:tabs>
        <w:jc w:val="both"/>
        <w:rPr>
          <w:rFonts w:ascii="Calibri" w:hAnsi="Calibri" w:cs="Calibri"/>
          <w:color w:val="000000"/>
          <w:sz w:val="16"/>
          <w:szCs w:val="22"/>
        </w:rPr>
      </w:pPr>
      <w:r>
        <w:rPr>
          <w:rFonts w:ascii="Calibri" w:hAnsi="Calibri" w:cs="Calibri"/>
          <w:color w:val="000000"/>
          <w:szCs w:val="22"/>
        </w:rPr>
        <w:tab/>
      </w:r>
    </w:p>
    <w:p w14:paraId="7878925A" w14:textId="4D970899" w:rsidR="00E86028" w:rsidRDefault="00AF3493">
      <w:pPr>
        <w:pStyle w:val="corpstexte"/>
        <w:rPr>
          <w:rFonts w:ascii="Tw Cen MT" w:hAnsi="Tw Cen MT"/>
          <w:sz w:val="22"/>
        </w:rPr>
      </w:pPr>
      <w:r w:rsidRPr="000F1A1C">
        <w:rPr>
          <w:rFonts w:ascii="Tw Cen MT" w:hAnsi="Tw Cen MT"/>
          <w:sz w:val="22"/>
        </w:rPr>
        <w:t xml:space="preserve">La Mauritanie dispose d’importants potentiels de production </w:t>
      </w:r>
      <w:r w:rsidR="008A1D30" w:rsidRPr="000F1A1C">
        <w:rPr>
          <w:rFonts w:ascii="Tw Cen MT" w:hAnsi="Tw Cen MT"/>
          <w:sz w:val="22"/>
        </w:rPr>
        <w:t>solaire et éolienne estimés à 4</w:t>
      </w:r>
      <w:r w:rsidRPr="000F1A1C">
        <w:rPr>
          <w:rFonts w:ascii="Tw Cen MT" w:hAnsi="Tw Cen MT"/>
          <w:sz w:val="22"/>
        </w:rPr>
        <w:t>000 GW, qui offre au pays l’opportunité de financer une transition énergétique et une décarbonation structurelle de son</w:t>
      </w:r>
      <w:r w:rsidR="00CC247C">
        <w:rPr>
          <w:rFonts w:ascii="Tw Cen MT" w:hAnsi="Tw Cen MT"/>
          <w:sz w:val="22"/>
        </w:rPr>
        <w:t xml:space="preserve"> économie</w:t>
      </w:r>
      <w:r w:rsidRPr="000F1A1C">
        <w:rPr>
          <w:rFonts w:ascii="Tw Cen MT" w:hAnsi="Tw Cen MT"/>
          <w:sz w:val="22"/>
        </w:rPr>
        <w:t xml:space="preserve">. </w:t>
      </w:r>
      <w:r w:rsidR="00E93860">
        <w:rPr>
          <w:rFonts w:ascii="Tw Cen MT" w:hAnsi="Tw Cen MT"/>
          <w:sz w:val="22"/>
        </w:rPr>
        <w:t>Le premier puit</w:t>
      </w:r>
      <w:r w:rsidR="00E86028">
        <w:rPr>
          <w:rFonts w:ascii="Tw Cen MT" w:hAnsi="Tw Cen MT"/>
          <w:sz w:val="22"/>
        </w:rPr>
        <w:t>s</w:t>
      </w:r>
      <w:r w:rsidR="00E93860">
        <w:rPr>
          <w:rFonts w:ascii="Tw Cen MT" w:hAnsi="Tw Cen MT"/>
          <w:sz w:val="22"/>
        </w:rPr>
        <w:t xml:space="preserve"> gazier issu d’une ressource commune entre le Sénégal et la Mauritanie est entré en exploitation le 1</w:t>
      </w:r>
      <w:r w:rsidR="00E93860" w:rsidRPr="000F1A1C">
        <w:rPr>
          <w:rFonts w:ascii="Tw Cen MT" w:hAnsi="Tw Cen MT"/>
          <w:sz w:val="22"/>
          <w:vertAlign w:val="superscript"/>
        </w:rPr>
        <w:t>er</w:t>
      </w:r>
      <w:r w:rsidR="00E93860">
        <w:rPr>
          <w:rFonts w:ascii="Tw Cen MT" w:hAnsi="Tw Cen MT"/>
          <w:sz w:val="22"/>
        </w:rPr>
        <w:t xml:space="preserve"> janvier 2025. </w:t>
      </w:r>
      <w:r w:rsidRPr="000F1A1C">
        <w:rPr>
          <w:rFonts w:ascii="Tw Cen MT" w:hAnsi="Tw Cen MT"/>
          <w:sz w:val="22"/>
        </w:rPr>
        <w:t>Le pays dispose également d’importants gisements des minéraux essentiels à la transition énergétique. Il possède la 5</w:t>
      </w:r>
      <w:r w:rsidRPr="000F1A1C">
        <w:rPr>
          <w:rFonts w:ascii="Tw Cen MT" w:hAnsi="Tw Cen MT"/>
          <w:sz w:val="22"/>
          <w:vertAlign w:val="superscript"/>
        </w:rPr>
        <w:t>ème</w:t>
      </w:r>
      <w:r w:rsidRPr="000F1A1C">
        <w:rPr>
          <w:rFonts w:ascii="Tw Cen MT" w:hAnsi="Tw Cen MT"/>
          <w:sz w:val="22"/>
        </w:rPr>
        <w:t xml:space="preserve"> plus grande réserve mondiale de fer, des réserves d’or et occupe une position géographique stratégique avec une façade maritime de plus 600 km. </w:t>
      </w:r>
    </w:p>
    <w:p w14:paraId="449372AB" w14:textId="77777777" w:rsidR="00E86028" w:rsidRPr="001D2D47" w:rsidRDefault="00E86028">
      <w:pPr>
        <w:pStyle w:val="corpstexte"/>
        <w:rPr>
          <w:rFonts w:ascii="Tw Cen MT" w:hAnsi="Tw Cen MT"/>
          <w:sz w:val="22"/>
        </w:rPr>
      </w:pPr>
      <w:r w:rsidRPr="001D2D47">
        <w:rPr>
          <w:rFonts w:ascii="Tw Cen MT" w:hAnsi="Tw Cen MT"/>
          <w:sz w:val="22"/>
        </w:rPr>
        <w:t xml:space="preserve">Le secteur énergétique occupe une place centrale dans la trajectoire de développement </w:t>
      </w:r>
      <w:r>
        <w:rPr>
          <w:rFonts w:ascii="Tw Cen MT" w:hAnsi="Tw Cen MT"/>
          <w:sz w:val="22"/>
        </w:rPr>
        <w:t xml:space="preserve">du pays </w:t>
      </w:r>
      <w:r w:rsidRPr="001D2D47">
        <w:rPr>
          <w:rFonts w:ascii="Tw Cen MT" w:hAnsi="Tw Cen MT"/>
          <w:sz w:val="22"/>
        </w:rPr>
        <w:t xml:space="preserve">avec une politique gouvernementale de diversification et d’exportation d’excédent électrique. Cette politique publique priorise la généralisation de l’électrification à l’ensemble du pays, </w:t>
      </w:r>
      <w:r>
        <w:rPr>
          <w:rFonts w:ascii="Tw Cen MT" w:hAnsi="Tw Cen MT"/>
          <w:sz w:val="22"/>
        </w:rPr>
        <w:t xml:space="preserve">la baisse du coût de production, </w:t>
      </w:r>
      <w:r w:rsidRPr="001D2D47">
        <w:rPr>
          <w:rFonts w:ascii="Tw Cen MT" w:hAnsi="Tw Cen MT"/>
          <w:sz w:val="22"/>
        </w:rPr>
        <w:t>l’hybridation solaire</w:t>
      </w:r>
      <w:r>
        <w:rPr>
          <w:rFonts w:ascii="Tw Cen MT" w:hAnsi="Tw Cen MT"/>
          <w:sz w:val="22"/>
        </w:rPr>
        <w:t xml:space="preserve"> des centres isolés</w:t>
      </w:r>
      <w:r w:rsidRPr="001D2D47">
        <w:rPr>
          <w:rFonts w:ascii="Tw Cen MT" w:hAnsi="Tw Cen MT"/>
          <w:sz w:val="22"/>
        </w:rPr>
        <w:t xml:space="preserve">, la </w:t>
      </w:r>
      <w:r>
        <w:rPr>
          <w:rFonts w:ascii="Tw Cen MT" w:hAnsi="Tw Cen MT"/>
          <w:sz w:val="22"/>
        </w:rPr>
        <w:t>décarbonation du réseau ainsi que</w:t>
      </w:r>
      <w:r w:rsidRPr="001D2D47">
        <w:rPr>
          <w:rFonts w:ascii="Tw Cen MT" w:hAnsi="Tw Cen MT"/>
          <w:sz w:val="22"/>
        </w:rPr>
        <w:t xml:space="preserve"> le développement </w:t>
      </w:r>
      <w:r>
        <w:rPr>
          <w:rFonts w:ascii="Tw Cen MT" w:hAnsi="Tw Cen MT"/>
          <w:sz w:val="22"/>
        </w:rPr>
        <w:t xml:space="preserve">futur </w:t>
      </w:r>
      <w:r w:rsidRPr="001D2D47">
        <w:rPr>
          <w:rFonts w:ascii="Tw Cen MT" w:hAnsi="Tw Cen MT"/>
          <w:sz w:val="22"/>
        </w:rPr>
        <w:t>de l’hydrogène.</w:t>
      </w:r>
      <w:r w:rsidRPr="00E86028">
        <w:rPr>
          <w:rFonts w:ascii="Tw Cen MT" w:hAnsi="Tw Cen MT"/>
          <w:sz w:val="22"/>
        </w:rPr>
        <w:t xml:space="preserve"> </w:t>
      </w:r>
      <w:r>
        <w:rPr>
          <w:rFonts w:ascii="Tw Cen MT" w:hAnsi="Tw Cen MT"/>
          <w:sz w:val="22"/>
        </w:rPr>
        <w:t>L</w:t>
      </w:r>
      <w:r w:rsidRPr="002847DB">
        <w:rPr>
          <w:rFonts w:ascii="Tw Cen MT" w:hAnsi="Tw Cen MT"/>
          <w:sz w:val="22"/>
        </w:rPr>
        <w:t>a Mauritanie</w:t>
      </w:r>
      <w:r>
        <w:rPr>
          <w:rFonts w:ascii="Tw Cen MT" w:hAnsi="Tw Cen MT"/>
          <w:sz w:val="22"/>
        </w:rPr>
        <w:t xml:space="preserve"> souhaite également jouer un</w:t>
      </w:r>
      <w:r w:rsidRPr="002847DB">
        <w:rPr>
          <w:rFonts w:ascii="Tw Cen MT" w:hAnsi="Tw Cen MT"/>
          <w:sz w:val="22"/>
        </w:rPr>
        <w:t xml:space="preserve"> rôle de trait d’union "énergétique" entre le Nord et l’Afrique subsaharienne</w:t>
      </w:r>
      <w:r>
        <w:rPr>
          <w:rFonts w:ascii="Tw Cen MT" w:hAnsi="Tw Cen MT"/>
          <w:sz w:val="22"/>
        </w:rPr>
        <w:t>, et assurer un approvisionnement énergétique de qualité et à bas coût à sa filière minière afin d’assurer sa compétitivité à l’international</w:t>
      </w:r>
      <w:r w:rsidRPr="002847DB">
        <w:rPr>
          <w:rFonts w:ascii="Tw Cen MT" w:hAnsi="Tw Cen MT"/>
          <w:sz w:val="22"/>
        </w:rPr>
        <w:t>.</w:t>
      </w:r>
    </w:p>
    <w:p w14:paraId="67A2DA38" w14:textId="77777777" w:rsidR="00AF3493" w:rsidRPr="000F1A1C" w:rsidRDefault="00AF3493" w:rsidP="00AF3493">
      <w:pPr>
        <w:pStyle w:val="corpstexte"/>
        <w:rPr>
          <w:rFonts w:ascii="Tw Cen MT" w:hAnsi="Tw Cen MT"/>
          <w:sz w:val="22"/>
        </w:rPr>
      </w:pPr>
      <w:r w:rsidRPr="000F1A1C">
        <w:rPr>
          <w:rFonts w:ascii="Tw Cen MT" w:hAnsi="Tw Cen MT"/>
          <w:sz w:val="22"/>
        </w:rPr>
        <w:t>Le secteur électrique est régi par la loi portant Code de l’électricité promulguée le 17 Novembre 2022. La Société Mauritanienne d’Electricité (Somelec), désormais structurée en une société mère assortie de trois filiales (production, distribution, électrification rurale), est l’opérateur historique du secteur de l’électricité en Mauritanie, en charge à la fois de la production, du transport et de la distribution, de l’achat et de la vente d’électricité en milieu urbain. Aux côtés de la Somelec et du Ministère de l’Energie</w:t>
      </w:r>
      <w:r w:rsidR="008A1D30" w:rsidRPr="000F1A1C">
        <w:rPr>
          <w:rFonts w:ascii="Tw Cen MT" w:hAnsi="Tw Cen MT"/>
          <w:sz w:val="22"/>
        </w:rPr>
        <w:t xml:space="preserve"> et du Pétrole (M</w:t>
      </w:r>
      <w:r w:rsidRPr="000F1A1C">
        <w:rPr>
          <w:rFonts w:ascii="Tw Cen MT" w:hAnsi="Tw Cen MT"/>
          <w:sz w:val="22"/>
        </w:rPr>
        <w:t>E</w:t>
      </w:r>
      <w:r w:rsidR="008A1D30" w:rsidRPr="000F1A1C">
        <w:rPr>
          <w:rFonts w:ascii="Tw Cen MT" w:hAnsi="Tw Cen MT"/>
          <w:sz w:val="22"/>
        </w:rPr>
        <w:t>P</w:t>
      </w:r>
      <w:r w:rsidRPr="000F1A1C">
        <w:rPr>
          <w:rFonts w:ascii="Tw Cen MT" w:hAnsi="Tw Cen MT"/>
          <w:sz w:val="22"/>
        </w:rPr>
        <w:t>), tutelle de la Somelec, d’autres acteurs évoluent dans ce secteur : l’Autorité de Régulation de l’Electricité (ARE) et les délégataires de service public d’électricité qui assurent la gestion et l’exploitation des centres délégués.</w:t>
      </w:r>
    </w:p>
    <w:p w14:paraId="59CE613C" w14:textId="77777777" w:rsidR="00AF3493" w:rsidRPr="000F1A1C" w:rsidRDefault="00AF3493" w:rsidP="00AF3493">
      <w:pPr>
        <w:spacing w:before="120" w:after="120"/>
        <w:jc w:val="both"/>
        <w:rPr>
          <w:rFonts w:ascii="Tw Cen MT" w:hAnsi="Tw Cen MT"/>
          <w:sz w:val="22"/>
          <w:szCs w:val="23"/>
        </w:rPr>
      </w:pPr>
      <w:r w:rsidRPr="000F1A1C">
        <w:rPr>
          <w:rFonts w:ascii="Tw Cen MT" w:hAnsi="Tw Cen MT"/>
          <w:color w:val="000000"/>
          <w:sz w:val="22"/>
          <w:szCs w:val="23"/>
        </w:rPr>
        <w:lastRenderedPageBreak/>
        <w:t xml:space="preserve">Le </w:t>
      </w:r>
      <w:r w:rsidRPr="000F1A1C">
        <w:rPr>
          <w:rFonts w:ascii="Tw Cen MT" w:hAnsi="Tw Cen MT"/>
          <w:b/>
          <w:color w:val="000000"/>
          <w:sz w:val="22"/>
          <w:szCs w:val="23"/>
        </w:rPr>
        <w:t xml:space="preserve">taux d’accès à l’électricité reste </w:t>
      </w:r>
      <w:r w:rsidRPr="000F1A1C">
        <w:rPr>
          <w:rFonts w:ascii="Tw Cen MT" w:hAnsi="Tw Cen MT"/>
          <w:b/>
          <w:sz w:val="22"/>
          <w:szCs w:val="20"/>
        </w:rPr>
        <w:t>faible,</w:t>
      </w:r>
      <w:r w:rsidRPr="000F1A1C">
        <w:rPr>
          <w:rFonts w:ascii="Tw Cen MT" w:hAnsi="Tw Cen MT"/>
          <w:color w:val="000000"/>
          <w:sz w:val="22"/>
          <w:szCs w:val="23"/>
        </w:rPr>
        <w:t xml:space="preserve"> malgré les importants efforts consentis par les autorités nationales qui </w:t>
      </w:r>
      <w:r w:rsidR="000F79F7" w:rsidRPr="000F1A1C">
        <w:rPr>
          <w:rFonts w:ascii="Tw Cen MT" w:hAnsi="Tw Cen MT"/>
          <w:color w:val="000000"/>
          <w:sz w:val="22"/>
          <w:szCs w:val="23"/>
        </w:rPr>
        <w:t xml:space="preserve">auraient </w:t>
      </w:r>
      <w:r w:rsidRPr="000F1A1C">
        <w:rPr>
          <w:rFonts w:ascii="Tw Cen MT" w:hAnsi="Tw Cen MT"/>
          <w:color w:val="000000"/>
          <w:sz w:val="22"/>
          <w:szCs w:val="23"/>
        </w:rPr>
        <w:t>permis de passer de 22% de ménages électrifiés en 2010 à 47% en 2023. L’objectif national d’</w:t>
      </w:r>
      <w:r w:rsidR="000F79F7" w:rsidRPr="000F1A1C">
        <w:rPr>
          <w:rFonts w:ascii="Tw Cen MT" w:hAnsi="Tw Cen MT"/>
          <w:color w:val="000000"/>
          <w:sz w:val="22"/>
          <w:szCs w:val="23"/>
        </w:rPr>
        <w:t>accès universel en 2030 semble</w:t>
      </w:r>
      <w:r w:rsidRPr="000F1A1C">
        <w:rPr>
          <w:rFonts w:ascii="Tw Cen MT" w:hAnsi="Tw Cen MT"/>
          <w:color w:val="000000"/>
          <w:sz w:val="22"/>
          <w:szCs w:val="23"/>
        </w:rPr>
        <w:t xml:space="preserve"> extrêmement ambitieux. Le niveau d’accès présente de fortes disparités entre les milieux urbains et ruraux </w:t>
      </w:r>
      <w:r w:rsidRPr="000F1A1C">
        <w:rPr>
          <w:rFonts w:ascii="Tw Cen MT" w:hAnsi="Tw Cen MT"/>
          <w:sz w:val="22"/>
          <w:szCs w:val="23"/>
        </w:rPr>
        <w:t xml:space="preserve">(&lt;10% </w:t>
      </w:r>
      <w:r w:rsidRPr="000F1A1C">
        <w:rPr>
          <w:rFonts w:ascii="Tw Cen MT" w:hAnsi="Tw Cen MT"/>
          <w:color w:val="000000"/>
          <w:sz w:val="22"/>
          <w:szCs w:val="23"/>
        </w:rPr>
        <w:t>en milieu rural). Certaines des zones du sud de l</w:t>
      </w:r>
      <w:r w:rsidR="000F79F7" w:rsidRPr="000F1A1C">
        <w:rPr>
          <w:rFonts w:ascii="Tw Cen MT" w:hAnsi="Tw Cen MT"/>
          <w:color w:val="000000"/>
          <w:sz w:val="22"/>
          <w:szCs w:val="23"/>
        </w:rPr>
        <w:t>a Mauritanie concernées par le P</w:t>
      </w:r>
      <w:r w:rsidRPr="000F1A1C">
        <w:rPr>
          <w:rFonts w:ascii="Tw Cen MT" w:hAnsi="Tw Cen MT"/>
          <w:color w:val="000000"/>
          <w:sz w:val="22"/>
          <w:szCs w:val="23"/>
        </w:rPr>
        <w:t xml:space="preserve">rojet comptent parmi les plus pauvres de la Mauritanie </w:t>
      </w:r>
      <w:r w:rsidR="0066399A">
        <w:rPr>
          <w:rFonts w:ascii="Tw Cen MT" w:hAnsi="Tw Cen MT"/>
          <w:color w:val="000000"/>
          <w:sz w:val="22"/>
          <w:szCs w:val="23"/>
        </w:rPr>
        <w:t xml:space="preserve">et présentent </w:t>
      </w:r>
      <w:r w:rsidRPr="000F1A1C">
        <w:rPr>
          <w:rFonts w:ascii="Tw Cen MT" w:hAnsi="Tw Cen MT"/>
          <w:color w:val="000000"/>
          <w:sz w:val="22"/>
          <w:szCs w:val="23"/>
        </w:rPr>
        <w:t>des taux d’accès à l’électricité parmi les plus faibles du pays.</w:t>
      </w:r>
    </w:p>
    <w:p w14:paraId="5D75251E" w14:textId="5F28D54B" w:rsidR="00AF3493" w:rsidRPr="000F1A1C" w:rsidRDefault="00AF3493" w:rsidP="00AF3493">
      <w:pPr>
        <w:spacing w:before="120" w:after="120"/>
        <w:jc w:val="both"/>
        <w:rPr>
          <w:rFonts w:ascii="Tw Cen MT" w:hAnsi="Tw Cen MT"/>
          <w:sz w:val="22"/>
          <w:szCs w:val="20"/>
        </w:rPr>
      </w:pPr>
      <w:r w:rsidRPr="000F1A1C">
        <w:rPr>
          <w:rFonts w:ascii="Tw Cen MT" w:hAnsi="Tw Cen MT"/>
          <w:sz w:val="22"/>
          <w:szCs w:val="20"/>
        </w:rPr>
        <w:t xml:space="preserve">En parallèle, </w:t>
      </w:r>
      <w:r w:rsidRPr="000F1A1C">
        <w:rPr>
          <w:rFonts w:ascii="Tw Cen MT" w:hAnsi="Tw Cen MT"/>
          <w:b/>
          <w:sz w:val="22"/>
          <w:szCs w:val="20"/>
        </w:rPr>
        <w:t>la production d’électricité est en constante augmentation</w:t>
      </w:r>
      <w:r w:rsidRPr="000F1A1C">
        <w:rPr>
          <w:rFonts w:ascii="Tw Cen MT" w:hAnsi="Tw Cen MT"/>
          <w:sz w:val="22"/>
          <w:szCs w:val="20"/>
        </w:rPr>
        <w:t xml:space="preserve">. La production </w:t>
      </w:r>
      <w:r w:rsidR="000F79F7" w:rsidRPr="000F1A1C">
        <w:rPr>
          <w:rFonts w:ascii="Tw Cen MT" w:hAnsi="Tw Cen MT"/>
          <w:sz w:val="22"/>
          <w:szCs w:val="20"/>
        </w:rPr>
        <w:t xml:space="preserve">serait </w:t>
      </w:r>
      <w:r w:rsidRPr="000F1A1C">
        <w:rPr>
          <w:rFonts w:ascii="Tw Cen MT" w:hAnsi="Tw Cen MT"/>
          <w:sz w:val="22"/>
          <w:szCs w:val="20"/>
        </w:rPr>
        <w:t xml:space="preserve">passée de 0,4 TWh en 2007 pour atteindre plus de 1,4 TWh en 2022, dont une très faible partie est produite sur les sites isolés. Si la puissance disponible reste faible (520 MW, hors localités isolées), les plans décennaux de production et transport d’électricité 2023-2033 ont retenu la poursuite d’un </w:t>
      </w:r>
      <w:r w:rsidRPr="000F1A1C">
        <w:rPr>
          <w:rFonts w:ascii="Tw Cen MT" w:hAnsi="Tw Cen MT"/>
          <w:b/>
          <w:sz w:val="22"/>
          <w:szCs w:val="20"/>
        </w:rPr>
        <w:t>investissement important dans les capacités de production</w:t>
      </w:r>
      <w:r w:rsidRPr="000F1A1C">
        <w:rPr>
          <w:rFonts w:ascii="Tw Cen MT" w:hAnsi="Tw Cen MT"/>
          <w:sz w:val="22"/>
          <w:szCs w:val="20"/>
        </w:rPr>
        <w:t>, qui permettra</w:t>
      </w:r>
      <w:r w:rsidR="008A1D30" w:rsidRPr="000F1A1C">
        <w:rPr>
          <w:rFonts w:ascii="Tw Cen MT" w:hAnsi="Tw Cen MT"/>
          <w:sz w:val="22"/>
          <w:szCs w:val="20"/>
        </w:rPr>
        <w:t>it</w:t>
      </w:r>
      <w:r w:rsidRPr="000F1A1C">
        <w:rPr>
          <w:rFonts w:ascii="Tw Cen MT" w:hAnsi="Tw Cen MT"/>
          <w:sz w:val="22"/>
          <w:szCs w:val="20"/>
        </w:rPr>
        <w:t xml:space="preserve"> à la Mauritanie de devenir</w:t>
      </w:r>
      <w:r w:rsidR="0066399A">
        <w:rPr>
          <w:rFonts w:ascii="Tw Cen MT" w:hAnsi="Tw Cen MT"/>
          <w:sz w:val="22"/>
          <w:szCs w:val="20"/>
        </w:rPr>
        <w:t>,</w:t>
      </w:r>
      <w:r w:rsidRPr="000F1A1C">
        <w:rPr>
          <w:rFonts w:ascii="Tw Cen MT" w:hAnsi="Tw Cen MT"/>
          <w:sz w:val="22"/>
          <w:szCs w:val="20"/>
        </w:rPr>
        <w:t xml:space="preserve"> à terme</w:t>
      </w:r>
      <w:r w:rsidR="0066399A">
        <w:rPr>
          <w:rFonts w:ascii="Tw Cen MT" w:hAnsi="Tw Cen MT"/>
          <w:sz w:val="22"/>
          <w:szCs w:val="20"/>
        </w:rPr>
        <w:t>,</w:t>
      </w:r>
      <w:r w:rsidRPr="000F1A1C">
        <w:rPr>
          <w:rFonts w:ascii="Tw Cen MT" w:hAnsi="Tw Cen MT"/>
          <w:sz w:val="22"/>
          <w:szCs w:val="20"/>
        </w:rPr>
        <w:t xml:space="preserve"> un </w:t>
      </w:r>
      <w:r w:rsidRPr="000F1A1C">
        <w:rPr>
          <w:rFonts w:ascii="Tw Cen MT" w:hAnsi="Tw Cen MT"/>
          <w:b/>
          <w:sz w:val="22"/>
          <w:szCs w:val="20"/>
        </w:rPr>
        <w:t>exportateur net d’énergie</w:t>
      </w:r>
      <w:r w:rsidRPr="000F1A1C">
        <w:rPr>
          <w:rFonts w:ascii="Tw Cen MT" w:hAnsi="Tw Cen MT"/>
          <w:sz w:val="22"/>
          <w:szCs w:val="20"/>
        </w:rPr>
        <w:t xml:space="preserve">. </w:t>
      </w:r>
    </w:p>
    <w:p w14:paraId="721DE66F" w14:textId="77777777" w:rsidR="00AF3493" w:rsidRPr="000F1A1C" w:rsidRDefault="00AF3493" w:rsidP="00AF3493">
      <w:pPr>
        <w:spacing w:before="120" w:after="120"/>
        <w:jc w:val="both"/>
        <w:rPr>
          <w:rFonts w:ascii="Tw Cen MT" w:hAnsi="Tw Cen MT"/>
          <w:sz w:val="22"/>
          <w:szCs w:val="20"/>
        </w:rPr>
      </w:pPr>
      <w:r w:rsidRPr="000F1A1C">
        <w:rPr>
          <w:rFonts w:ascii="Tw Cen MT" w:hAnsi="Tw Cen MT"/>
          <w:sz w:val="22"/>
          <w:szCs w:val="20"/>
        </w:rPr>
        <w:t xml:space="preserve">Toutefois l’augmentation de la production est </w:t>
      </w:r>
      <w:r w:rsidRPr="000F1A1C">
        <w:rPr>
          <w:rFonts w:ascii="Tw Cen MT" w:hAnsi="Tw Cen MT"/>
          <w:b/>
          <w:sz w:val="22"/>
          <w:szCs w:val="20"/>
        </w:rPr>
        <w:t>limitée par l’infrastructure de transport et distribution</w:t>
      </w:r>
      <w:r w:rsidRPr="000F1A1C">
        <w:rPr>
          <w:rFonts w:ascii="Tw Cen MT" w:hAnsi="Tw Cen MT"/>
          <w:sz w:val="22"/>
          <w:szCs w:val="20"/>
          <w:vertAlign w:val="superscript"/>
        </w:rPr>
        <w:footnoteReference w:id="2"/>
      </w:r>
      <w:r w:rsidRPr="000F1A1C">
        <w:rPr>
          <w:rFonts w:ascii="Tw Cen MT" w:hAnsi="Tw Cen MT"/>
          <w:sz w:val="22"/>
          <w:szCs w:val="20"/>
        </w:rPr>
        <w:t xml:space="preserve">. Le réseau de transport est peu étendu et le pays compte plusieurs centres isolés avec un réseau de distribution relativement vétuste rendant la fourniture d’électricité peu fiable. Ainsi, l’inexistence d’une ligne de transport à capacité adéquate empêche la Mauritanie d’enlever toute la quote-part de la capacité de production d’énergie qui lui est réservée (94 MW) sur la capacité des trois centrales hydroélectriques de l’OMVS (Manantali, Gouina et Félou). </w:t>
      </w:r>
    </w:p>
    <w:p w14:paraId="001E17CE" w14:textId="77777777" w:rsidR="00C3775E" w:rsidRPr="000F1A1C" w:rsidRDefault="00266A49" w:rsidP="000F1A1C">
      <w:pPr>
        <w:spacing w:before="120" w:after="120"/>
        <w:jc w:val="both"/>
        <w:rPr>
          <w:rFonts w:ascii="Tw Cen MT" w:hAnsi="Tw Cen MT"/>
          <w:sz w:val="22"/>
          <w:szCs w:val="20"/>
        </w:rPr>
      </w:pPr>
      <w:r w:rsidRPr="000F1A1C">
        <w:rPr>
          <w:rFonts w:ascii="Tw Cen MT" w:hAnsi="Tw Cen MT"/>
          <w:sz w:val="22"/>
          <w:szCs w:val="20"/>
        </w:rPr>
        <w:t xml:space="preserve">La Mauritanie reste </w:t>
      </w:r>
      <w:r w:rsidR="00AF3493" w:rsidRPr="000F1A1C">
        <w:rPr>
          <w:rFonts w:ascii="Tw Cen MT" w:hAnsi="Tw Cen MT"/>
          <w:sz w:val="22"/>
          <w:szCs w:val="20"/>
        </w:rPr>
        <w:t xml:space="preserve">encore fortement </w:t>
      </w:r>
      <w:r w:rsidR="00AF3493" w:rsidRPr="000F1A1C">
        <w:rPr>
          <w:rFonts w:ascii="Tw Cen MT" w:hAnsi="Tw Cen MT"/>
          <w:b/>
          <w:sz w:val="22"/>
          <w:szCs w:val="20"/>
        </w:rPr>
        <w:t>dépendante de produits pétroliers pour la production d’électricité</w:t>
      </w:r>
      <w:r w:rsidR="00AF3493" w:rsidRPr="000F1A1C">
        <w:rPr>
          <w:rFonts w:ascii="Tw Cen MT" w:hAnsi="Tw Cen MT"/>
          <w:sz w:val="22"/>
          <w:szCs w:val="20"/>
        </w:rPr>
        <w:t xml:space="preserve"> (43% de la puissance installée en 2023 malgré le développement soutenu des renouvelables)</w:t>
      </w:r>
      <w:r w:rsidR="00AF3493" w:rsidRPr="000F1A1C">
        <w:rPr>
          <w:rFonts w:ascii="Tw Cen MT" w:hAnsi="Tw Cen MT"/>
          <w:color w:val="000000"/>
          <w:sz w:val="22"/>
          <w:szCs w:val="23"/>
        </w:rPr>
        <w:t xml:space="preserve">. </w:t>
      </w:r>
      <w:r w:rsidR="00AF3493" w:rsidRPr="000F1A1C">
        <w:rPr>
          <w:rFonts w:ascii="Tw Cen MT" w:hAnsi="Tw Cen MT"/>
          <w:sz w:val="22"/>
          <w:szCs w:val="20"/>
        </w:rPr>
        <w:t xml:space="preserve">En plus d’impliquer des émissions de gaz à effet de serre importantes, cette dépendance impacte fortement l’équilibre financier de la Somelec (contexte de prix administrés). </w:t>
      </w:r>
    </w:p>
    <w:p w14:paraId="1D83E778" w14:textId="3C8B91C9" w:rsidR="00C3775E" w:rsidRPr="000F1A1C" w:rsidRDefault="00C3775E" w:rsidP="00353EAA">
      <w:pPr>
        <w:jc w:val="both"/>
        <w:rPr>
          <w:rFonts w:ascii="Tw Cen MT" w:hAnsi="Tw Cen MT"/>
          <w:sz w:val="22"/>
          <w:szCs w:val="20"/>
        </w:rPr>
      </w:pPr>
      <w:r w:rsidRPr="000F1A1C">
        <w:rPr>
          <w:rFonts w:ascii="Tw Cen MT" w:hAnsi="Tw Cen MT"/>
          <w:sz w:val="22"/>
          <w:szCs w:val="20"/>
        </w:rPr>
        <w:t xml:space="preserve">L’amélioration de l’accès à l’électricité se fait </w:t>
      </w:r>
      <w:r w:rsidR="00266A49" w:rsidRPr="000F1A1C">
        <w:rPr>
          <w:rFonts w:ascii="Tw Cen MT" w:hAnsi="Tw Cen MT"/>
          <w:sz w:val="22"/>
          <w:szCs w:val="20"/>
        </w:rPr>
        <w:t xml:space="preserve">donc </w:t>
      </w:r>
      <w:r w:rsidRPr="000F1A1C">
        <w:rPr>
          <w:rFonts w:ascii="Tw Cen MT" w:hAnsi="Tw Cen MT"/>
          <w:sz w:val="22"/>
          <w:szCs w:val="20"/>
        </w:rPr>
        <w:t xml:space="preserve">actuellement selon un schéma de développement progressif des infrastructures dont les </w:t>
      </w:r>
      <w:r w:rsidR="0066399A">
        <w:rPr>
          <w:rFonts w:ascii="Tw Cen MT" w:hAnsi="Tw Cen MT"/>
          <w:sz w:val="22"/>
          <w:szCs w:val="20"/>
        </w:rPr>
        <w:t xml:space="preserve">axes d’effort </w:t>
      </w:r>
      <w:r w:rsidRPr="000F1A1C">
        <w:rPr>
          <w:rFonts w:ascii="Tw Cen MT" w:hAnsi="Tw Cen MT"/>
          <w:sz w:val="22"/>
          <w:szCs w:val="20"/>
        </w:rPr>
        <w:t>sont (i) la réalisation en cours des dorsales de transport Nord-Sud et Est-Ouest</w:t>
      </w:r>
      <w:r w:rsidR="002A5FF6">
        <w:rPr>
          <w:rFonts w:ascii="Tw Cen MT" w:hAnsi="Tw Cen MT"/>
          <w:sz w:val="22"/>
          <w:szCs w:val="20"/>
        </w:rPr>
        <w:t>,</w:t>
      </w:r>
      <w:r w:rsidRPr="000F1A1C">
        <w:rPr>
          <w:rFonts w:ascii="Tw Cen MT" w:hAnsi="Tw Cen MT"/>
          <w:sz w:val="22"/>
          <w:szCs w:val="20"/>
        </w:rPr>
        <w:t xml:space="preserve"> (ii) le regroupement progressif des sites de production isolés de la SOMELEC par extension des réseaux moyenne tension, à commencer par les zones de forte densité de population le long du fleuve Sénégal; et (iii) l’électrification décentralisée par mini-réseaux pour toutes les autres localités durablement isolées, sur financement de l’Etat avec une priorisation de ses efforts sur les centres les plus importants.</w:t>
      </w:r>
    </w:p>
    <w:p w14:paraId="6853B1D2" w14:textId="77777777" w:rsidR="00C3775E" w:rsidRPr="000F1A1C" w:rsidRDefault="00C3775E" w:rsidP="00353EAA">
      <w:pPr>
        <w:jc w:val="both"/>
        <w:rPr>
          <w:rFonts w:ascii="Tw Cen MT" w:hAnsi="Tw Cen MT"/>
          <w:sz w:val="18"/>
          <w:szCs w:val="20"/>
        </w:rPr>
      </w:pPr>
    </w:p>
    <w:p w14:paraId="6DD9BB99" w14:textId="7E23B841" w:rsidR="00C3775E" w:rsidRPr="000F1A1C" w:rsidRDefault="0066399A" w:rsidP="00FB1A87">
      <w:pPr>
        <w:jc w:val="both"/>
        <w:rPr>
          <w:rFonts w:ascii="Tw Cen MT" w:hAnsi="Tw Cen MT"/>
          <w:sz w:val="22"/>
          <w:szCs w:val="20"/>
        </w:rPr>
      </w:pPr>
      <w:r>
        <w:rPr>
          <w:rFonts w:ascii="Tw Cen MT" w:hAnsi="Tw Cen MT"/>
          <w:sz w:val="22"/>
          <w:szCs w:val="20"/>
        </w:rPr>
        <w:t>Précisément, l</w:t>
      </w:r>
      <w:r w:rsidR="008A1D30" w:rsidRPr="000F1A1C">
        <w:rPr>
          <w:rFonts w:ascii="Tw Cen MT" w:hAnsi="Tw Cen MT"/>
          <w:sz w:val="22"/>
          <w:szCs w:val="20"/>
        </w:rPr>
        <w:t>e P</w:t>
      </w:r>
      <w:r w:rsidR="00C3775E" w:rsidRPr="000F1A1C">
        <w:rPr>
          <w:rFonts w:ascii="Tw Cen MT" w:hAnsi="Tw Cen MT"/>
          <w:sz w:val="22"/>
          <w:szCs w:val="20"/>
        </w:rPr>
        <w:t xml:space="preserve">rojet </w:t>
      </w:r>
      <w:r w:rsidR="008A1D30" w:rsidRPr="000F1A1C">
        <w:rPr>
          <w:rFonts w:ascii="Tw Cen MT" w:hAnsi="Tw Cen MT"/>
          <w:sz w:val="22"/>
          <w:szCs w:val="20"/>
        </w:rPr>
        <w:t xml:space="preserve">RIMDIR </w:t>
      </w:r>
      <w:r w:rsidR="00266A49" w:rsidRPr="000F1A1C">
        <w:rPr>
          <w:rFonts w:ascii="Tw Cen MT" w:hAnsi="Tw Cen MT"/>
          <w:sz w:val="22"/>
          <w:szCs w:val="20"/>
        </w:rPr>
        <w:t>a pour</w:t>
      </w:r>
      <w:r w:rsidR="00C3775E" w:rsidRPr="000F1A1C">
        <w:rPr>
          <w:rFonts w:ascii="Tw Cen MT" w:hAnsi="Tw Cen MT"/>
          <w:sz w:val="22"/>
          <w:szCs w:val="20"/>
        </w:rPr>
        <w:t xml:space="preserve"> vocation </w:t>
      </w:r>
      <w:r>
        <w:rPr>
          <w:rFonts w:ascii="Tw Cen MT" w:hAnsi="Tw Cen MT"/>
          <w:sz w:val="22"/>
          <w:szCs w:val="20"/>
        </w:rPr>
        <w:t>de</w:t>
      </w:r>
      <w:r w:rsidR="00C3775E" w:rsidRPr="000F1A1C">
        <w:rPr>
          <w:rFonts w:ascii="Tw Cen MT" w:hAnsi="Tw Cen MT"/>
          <w:sz w:val="22"/>
          <w:szCs w:val="20"/>
        </w:rPr>
        <w:t xml:space="preserve"> contribuer à la stratégie d’électrification décentralisée par mini-réseaux du </w:t>
      </w:r>
      <w:r w:rsidR="00266A49" w:rsidRPr="000F1A1C">
        <w:rPr>
          <w:rFonts w:ascii="Tw Cen MT" w:hAnsi="Tw Cen MT"/>
          <w:sz w:val="22"/>
          <w:szCs w:val="20"/>
        </w:rPr>
        <w:t xml:space="preserve">ministère de l’énergie </w:t>
      </w:r>
      <w:r w:rsidR="00C3775E" w:rsidRPr="000F1A1C">
        <w:rPr>
          <w:rFonts w:ascii="Tw Cen MT" w:hAnsi="Tw Cen MT"/>
          <w:sz w:val="22"/>
          <w:szCs w:val="20"/>
        </w:rPr>
        <w:t>par la mise en place d’un nouveau dispositif de délégation de service public et de répondre aux principaux objectifs de la</w:t>
      </w:r>
      <w:r w:rsidR="00FB1A87" w:rsidRPr="00FB1A87">
        <w:rPr>
          <w:rFonts w:ascii="Tw Cen MT" w:hAnsi="Tw Cen MT"/>
          <w:sz w:val="22"/>
          <w:szCs w:val="20"/>
        </w:rPr>
        <w:t xml:space="preserve"> Stratégie de croissance accélérée et de bien-être partagé</w:t>
      </w:r>
      <w:r w:rsidR="00FB1A87">
        <w:rPr>
          <w:rFonts w:ascii="Tw Cen MT" w:hAnsi="Tw Cen MT"/>
          <w:sz w:val="22"/>
          <w:szCs w:val="20"/>
        </w:rPr>
        <w:t xml:space="preserve"> (</w:t>
      </w:r>
      <w:r w:rsidR="00C3775E" w:rsidRPr="000F1A1C">
        <w:rPr>
          <w:rFonts w:ascii="Tw Cen MT" w:hAnsi="Tw Cen MT"/>
          <w:sz w:val="22"/>
          <w:szCs w:val="20"/>
        </w:rPr>
        <w:t>SCAPP</w:t>
      </w:r>
      <w:r w:rsidR="00FB1A87">
        <w:rPr>
          <w:rFonts w:ascii="Tw Cen MT" w:hAnsi="Tw Cen MT"/>
          <w:sz w:val="22"/>
          <w:szCs w:val="20"/>
        </w:rPr>
        <w:t>)</w:t>
      </w:r>
      <w:r w:rsidR="00C3775E" w:rsidRPr="000F1A1C">
        <w:rPr>
          <w:rFonts w:ascii="Tw Cen MT" w:hAnsi="Tw Cen MT"/>
          <w:sz w:val="22"/>
          <w:szCs w:val="20"/>
        </w:rPr>
        <w:t xml:space="preserve"> en matière d’énergie.</w:t>
      </w:r>
    </w:p>
    <w:p w14:paraId="54FED584" w14:textId="77777777" w:rsidR="00C3775E" w:rsidRPr="000F1A1C" w:rsidRDefault="00C3775E" w:rsidP="00C3775E">
      <w:pPr>
        <w:jc w:val="both"/>
        <w:rPr>
          <w:rFonts w:ascii="Verdana" w:hAnsi="Verdana"/>
          <w:color w:val="000000"/>
        </w:rPr>
      </w:pPr>
    </w:p>
    <w:p w14:paraId="193EEC0A" w14:textId="2AC2C23A" w:rsidR="00C3775E" w:rsidRPr="000F1A1C" w:rsidRDefault="00C3775E" w:rsidP="000F1A1C">
      <w:pPr>
        <w:pStyle w:val="Titre2"/>
        <w:rPr>
          <w:sz w:val="22"/>
        </w:rPr>
      </w:pPr>
      <w:r w:rsidRPr="000F1A1C">
        <w:rPr>
          <w:b w:val="0"/>
          <w:sz w:val="28"/>
          <w:szCs w:val="28"/>
        </w:rPr>
        <w:t>Le Projet</w:t>
      </w:r>
      <w:r w:rsidR="00AF3493" w:rsidRPr="000F1A1C">
        <w:rPr>
          <w:sz w:val="28"/>
          <w:szCs w:val="28"/>
        </w:rPr>
        <w:t xml:space="preserve"> RIMDIR</w:t>
      </w:r>
    </w:p>
    <w:p w14:paraId="1DF203A4" w14:textId="77777777" w:rsidR="00266A49" w:rsidRPr="000F1A1C" w:rsidRDefault="007F6451" w:rsidP="000F1A1C">
      <w:pPr>
        <w:jc w:val="both"/>
        <w:rPr>
          <w:rFonts w:ascii="Tw Cen MT" w:hAnsi="Tw Cen MT"/>
          <w:sz w:val="22"/>
        </w:rPr>
      </w:pPr>
      <w:r w:rsidRPr="000F1A1C">
        <w:rPr>
          <w:rFonts w:ascii="Tw Cen MT" w:hAnsi="Tw Cen MT"/>
          <w:sz w:val="22"/>
        </w:rPr>
        <w:t>Le volet énergétique (B) du programme Renforcement de</w:t>
      </w:r>
      <w:r w:rsidR="00266A49" w:rsidRPr="000F1A1C">
        <w:rPr>
          <w:rFonts w:ascii="Tw Cen MT" w:hAnsi="Tw Cen MT"/>
          <w:sz w:val="22"/>
        </w:rPr>
        <w:t xml:space="preserve">s </w:t>
      </w:r>
      <w:r w:rsidR="0066399A">
        <w:rPr>
          <w:rFonts w:ascii="Tw Cen MT" w:hAnsi="Tw Cen MT"/>
          <w:sz w:val="22"/>
        </w:rPr>
        <w:t>I</w:t>
      </w:r>
      <w:r w:rsidR="00266A49" w:rsidRPr="000F1A1C">
        <w:rPr>
          <w:rFonts w:ascii="Tw Cen MT" w:hAnsi="Tw Cen MT"/>
          <w:sz w:val="22"/>
        </w:rPr>
        <w:t xml:space="preserve">nvestissements productifs et </w:t>
      </w:r>
      <w:r w:rsidRPr="000F1A1C">
        <w:rPr>
          <w:rFonts w:ascii="Tw Cen MT" w:hAnsi="Tw Cen MT"/>
          <w:sz w:val="22"/>
        </w:rPr>
        <w:t xml:space="preserve">énergétiques en Mauritanie pour le </w:t>
      </w:r>
      <w:r w:rsidR="0066399A">
        <w:rPr>
          <w:rFonts w:ascii="Tw Cen MT" w:hAnsi="Tw Cen MT"/>
          <w:sz w:val="22"/>
        </w:rPr>
        <w:t>D</w:t>
      </w:r>
      <w:r w:rsidRPr="000F1A1C">
        <w:rPr>
          <w:rFonts w:ascii="Tw Cen MT" w:hAnsi="Tw Cen MT"/>
          <w:sz w:val="22"/>
        </w:rPr>
        <w:t>éveloppement durable</w:t>
      </w:r>
      <w:r w:rsidR="00266A49" w:rsidRPr="000F1A1C">
        <w:rPr>
          <w:rFonts w:ascii="Tw Cen MT" w:hAnsi="Tw Cen MT"/>
          <w:sz w:val="22"/>
        </w:rPr>
        <w:t xml:space="preserve"> des zones </w:t>
      </w:r>
      <w:r w:rsidR="0066399A">
        <w:rPr>
          <w:rFonts w:ascii="Tw Cen MT" w:hAnsi="Tw Cen MT"/>
          <w:sz w:val="22"/>
        </w:rPr>
        <w:t>R</w:t>
      </w:r>
      <w:r w:rsidR="00266A49" w:rsidRPr="000F1A1C">
        <w:rPr>
          <w:rFonts w:ascii="Tw Cen MT" w:hAnsi="Tw Cen MT"/>
          <w:sz w:val="22"/>
        </w:rPr>
        <w:t>urales (RIMDIR), ci</w:t>
      </w:r>
      <w:r w:rsidR="007948DE">
        <w:rPr>
          <w:rFonts w:ascii="Tw Cen MT" w:hAnsi="Tw Cen MT"/>
          <w:sz w:val="22"/>
        </w:rPr>
        <w:t>-</w:t>
      </w:r>
      <w:r w:rsidRPr="000F1A1C">
        <w:rPr>
          <w:rFonts w:ascii="Tw Cen MT" w:hAnsi="Tw Cen MT"/>
          <w:sz w:val="22"/>
        </w:rPr>
        <w:t>après « le Projet », a pour finalité d’accompagner la croissance économique des loc</w:t>
      </w:r>
      <w:r w:rsidR="00266A49" w:rsidRPr="000F1A1C">
        <w:rPr>
          <w:rFonts w:ascii="Tw Cen MT" w:hAnsi="Tw Cen MT"/>
          <w:sz w:val="22"/>
        </w:rPr>
        <w:t xml:space="preserve">alités </w:t>
      </w:r>
      <w:r w:rsidRPr="000F1A1C">
        <w:rPr>
          <w:rFonts w:ascii="Tw Cen MT" w:hAnsi="Tw Cen MT"/>
          <w:sz w:val="22"/>
        </w:rPr>
        <w:t>rurales des Wilayas du Sud-Est de la Mauritanie en appor</w:t>
      </w:r>
      <w:r w:rsidR="00266A49" w:rsidRPr="000F1A1C">
        <w:rPr>
          <w:rFonts w:ascii="Tw Cen MT" w:hAnsi="Tw Cen MT"/>
          <w:sz w:val="22"/>
        </w:rPr>
        <w:t xml:space="preserve">tant un service énergétique aux </w:t>
      </w:r>
      <w:r w:rsidRPr="000F1A1C">
        <w:rPr>
          <w:rFonts w:ascii="Tw Cen MT" w:hAnsi="Tw Cen MT"/>
          <w:sz w:val="22"/>
        </w:rPr>
        <w:t>ménages et aux activités productives</w:t>
      </w:r>
      <w:r w:rsidR="00266A49" w:rsidRPr="000F1A1C">
        <w:rPr>
          <w:rFonts w:ascii="Tw Cen MT" w:hAnsi="Tw Cen MT"/>
          <w:sz w:val="22"/>
        </w:rPr>
        <w:t xml:space="preserve">. </w:t>
      </w:r>
    </w:p>
    <w:p w14:paraId="68827368" w14:textId="77777777" w:rsidR="00266A49" w:rsidRPr="000F1A1C" w:rsidRDefault="00266A49" w:rsidP="000F1A1C">
      <w:pPr>
        <w:jc w:val="both"/>
        <w:rPr>
          <w:rFonts w:ascii="Tw Cen MT" w:hAnsi="Tw Cen MT"/>
          <w:sz w:val="22"/>
        </w:rPr>
      </w:pPr>
    </w:p>
    <w:p w14:paraId="6F924BE6" w14:textId="3D31BEEA" w:rsidR="00266A49" w:rsidRPr="000F1A1C" w:rsidRDefault="00266A49" w:rsidP="000F1A1C">
      <w:pPr>
        <w:jc w:val="both"/>
        <w:rPr>
          <w:rFonts w:ascii="Tw Cen MT" w:hAnsi="Tw Cen MT"/>
          <w:sz w:val="22"/>
        </w:rPr>
      </w:pPr>
      <w:r w:rsidRPr="000F1A1C">
        <w:rPr>
          <w:rFonts w:ascii="Tw Cen MT" w:hAnsi="Tw Cen MT"/>
          <w:sz w:val="22"/>
        </w:rPr>
        <w:t xml:space="preserve">Le Projet vise à apporter </w:t>
      </w:r>
      <w:r w:rsidR="007F6451" w:rsidRPr="000F1A1C">
        <w:rPr>
          <w:rFonts w:ascii="Tw Cen MT" w:hAnsi="Tw Cen MT"/>
          <w:sz w:val="22"/>
        </w:rPr>
        <w:t xml:space="preserve">un service électrique durable dans les zones cibles à travers des mini-réseaux hybrides </w:t>
      </w:r>
      <w:r w:rsidRPr="000F1A1C">
        <w:rPr>
          <w:rFonts w:ascii="Tw Cen MT" w:hAnsi="Tw Cen MT"/>
          <w:sz w:val="22"/>
        </w:rPr>
        <w:t xml:space="preserve">à 90% </w:t>
      </w:r>
      <w:r w:rsidR="007F6451" w:rsidRPr="000F1A1C">
        <w:rPr>
          <w:rFonts w:ascii="Tw Cen MT" w:hAnsi="Tw Cen MT"/>
          <w:sz w:val="22"/>
        </w:rPr>
        <w:t>d’origine solaire</w:t>
      </w:r>
      <w:r w:rsidR="0092615B">
        <w:rPr>
          <w:rFonts w:ascii="Tw Cen MT" w:hAnsi="Tw Cen MT"/>
          <w:sz w:val="22"/>
        </w:rPr>
        <w:t>. Ce Projet est particulièrement innovant (mais aussi complexe) dans la mesure où une approche PPP a été adoptée :</w:t>
      </w:r>
      <w:r w:rsidR="007F6451" w:rsidRPr="000F1A1C">
        <w:rPr>
          <w:rFonts w:ascii="Tw Cen MT" w:hAnsi="Tw Cen MT"/>
          <w:sz w:val="22"/>
        </w:rPr>
        <w:t xml:space="preserve"> ces mini-réseaux </w:t>
      </w:r>
      <w:r w:rsidR="0092615B">
        <w:rPr>
          <w:rFonts w:ascii="Tw Cen MT" w:hAnsi="Tw Cen MT"/>
          <w:sz w:val="22"/>
        </w:rPr>
        <w:t xml:space="preserve">seront </w:t>
      </w:r>
      <w:r w:rsidR="007F6451" w:rsidRPr="000F1A1C">
        <w:rPr>
          <w:rFonts w:ascii="Tw Cen MT" w:hAnsi="Tw Cen MT"/>
          <w:sz w:val="22"/>
        </w:rPr>
        <w:t>financés</w:t>
      </w:r>
      <w:r w:rsidR="0092615B">
        <w:rPr>
          <w:rFonts w:ascii="Tw Cen MT" w:hAnsi="Tw Cen MT"/>
          <w:sz w:val="22"/>
        </w:rPr>
        <w:t xml:space="preserve"> (partiellement)</w:t>
      </w:r>
      <w:r w:rsidR="007F6451" w:rsidRPr="000F1A1C">
        <w:rPr>
          <w:rFonts w:ascii="Tw Cen MT" w:hAnsi="Tw Cen MT"/>
          <w:sz w:val="22"/>
        </w:rPr>
        <w:t xml:space="preserve">, </w:t>
      </w:r>
      <w:r w:rsidR="0092615B">
        <w:rPr>
          <w:rFonts w:ascii="Tw Cen MT" w:hAnsi="Tw Cen MT"/>
          <w:sz w:val="22"/>
        </w:rPr>
        <w:t xml:space="preserve">construits, </w:t>
      </w:r>
      <w:r w:rsidR="007F6451" w:rsidRPr="000F1A1C">
        <w:rPr>
          <w:rFonts w:ascii="Tw Cen MT" w:hAnsi="Tw Cen MT"/>
          <w:sz w:val="22"/>
        </w:rPr>
        <w:t>exploités et maintenus</w:t>
      </w:r>
      <w:r w:rsidRPr="000F1A1C">
        <w:rPr>
          <w:rFonts w:ascii="Tw Cen MT" w:hAnsi="Tw Cen MT"/>
          <w:sz w:val="22"/>
        </w:rPr>
        <w:t xml:space="preserve"> par un opérateur</w:t>
      </w:r>
      <w:r w:rsidR="007F6451" w:rsidRPr="000F1A1C">
        <w:rPr>
          <w:rFonts w:ascii="Tw Cen MT" w:hAnsi="Tw Cen MT"/>
          <w:sz w:val="22"/>
        </w:rPr>
        <w:t xml:space="preserve"> privé dans le cadre d’une délégation de service public signée</w:t>
      </w:r>
      <w:r w:rsidRPr="000F1A1C">
        <w:rPr>
          <w:rFonts w:ascii="Tw Cen MT" w:hAnsi="Tw Cen MT"/>
          <w:sz w:val="22"/>
        </w:rPr>
        <w:t xml:space="preserve"> avec la SOMELEC,</w:t>
      </w:r>
      <w:r w:rsidR="007F6451" w:rsidRPr="000F1A1C">
        <w:rPr>
          <w:rFonts w:ascii="Tw Cen MT" w:hAnsi="Tw Cen MT"/>
          <w:sz w:val="22"/>
        </w:rPr>
        <w:t xml:space="preserve"> maîtrise d’ouvrage du Projet. </w:t>
      </w:r>
      <w:r w:rsidRPr="000F1A1C">
        <w:rPr>
          <w:rFonts w:ascii="Tw Cen MT" w:hAnsi="Tw Cen MT"/>
          <w:sz w:val="22"/>
        </w:rPr>
        <w:t xml:space="preserve"> </w:t>
      </w:r>
    </w:p>
    <w:p w14:paraId="5A769EB4" w14:textId="77777777" w:rsidR="00266A49" w:rsidRPr="000F1A1C" w:rsidRDefault="00266A49" w:rsidP="000F1A1C">
      <w:pPr>
        <w:jc w:val="both"/>
        <w:rPr>
          <w:rFonts w:ascii="Tw Cen MT" w:hAnsi="Tw Cen MT"/>
          <w:sz w:val="22"/>
        </w:rPr>
      </w:pPr>
    </w:p>
    <w:p w14:paraId="13B34BD1" w14:textId="39F0F842" w:rsidR="00DE1511" w:rsidRPr="000F1A1C" w:rsidRDefault="007F6451" w:rsidP="000F1A1C">
      <w:pPr>
        <w:jc w:val="both"/>
        <w:rPr>
          <w:rFonts w:ascii="Tw Cen MT" w:hAnsi="Tw Cen MT"/>
          <w:sz w:val="22"/>
        </w:rPr>
      </w:pPr>
      <w:r w:rsidRPr="000F1A1C">
        <w:rPr>
          <w:rFonts w:ascii="Tw Cen MT" w:hAnsi="Tw Cen MT"/>
          <w:sz w:val="22"/>
        </w:rPr>
        <w:t>Le financement de la première phase du Projet porte sur 13 M€, constitués d’un financement délégué de l’Union européenne à l’AFD de 9 M€ complétés d’une subvention AFD de 4 M€. Ce Projet a pour ambition de formaliser le premier partenariat public privé (PPP) en électrification rurale en Mauritanie et constitue à ce titre une initiative pilote</w:t>
      </w:r>
      <w:r w:rsidR="003B6B8C">
        <w:rPr>
          <w:rFonts w:ascii="Tw Cen MT" w:hAnsi="Tw Cen MT"/>
          <w:sz w:val="22"/>
        </w:rPr>
        <w:t xml:space="preserve"> p</w:t>
      </w:r>
      <w:r w:rsidRPr="000F1A1C">
        <w:rPr>
          <w:rFonts w:ascii="Tw Cen MT" w:hAnsi="Tw Cen MT"/>
          <w:sz w:val="22"/>
        </w:rPr>
        <w:t xml:space="preserve">our étendre l’accès à l’électricité aux zones rurales. Le Projet est encadré par deux conventions de financement CMR 1200 01S et CMR 1200 02T signées </w:t>
      </w:r>
      <w:r w:rsidR="002A5FF6">
        <w:rPr>
          <w:rFonts w:ascii="Tw Cen MT" w:hAnsi="Tw Cen MT"/>
          <w:sz w:val="22"/>
        </w:rPr>
        <w:t xml:space="preserve">en </w:t>
      </w:r>
      <w:r w:rsidRPr="000F1A1C">
        <w:rPr>
          <w:rFonts w:ascii="Tw Cen MT" w:hAnsi="Tw Cen MT"/>
          <w:sz w:val="22"/>
        </w:rPr>
        <w:t xml:space="preserve">2019 entre la République Islamique de Mauritanie et </w:t>
      </w:r>
      <w:r w:rsidR="002A5FF6">
        <w:rPr>
          <w:rFonts w:ascii="Tw Cen MT" w:hAnsi="Tw Cen MT"/>
          <w:sz w:val="22"/>
        </w:rPr>
        <w:t>l’</w:t>
      </w:r>
      <w:r w:rsidRPr="000F1A1C">
        <w:rPr>
          <w:rFonts w:ascii="Tw Cen MT" w:hAnsi="Tw Cen MT"/>
          <w:sz w:val="22"/>
        </w:rPr>
        <w:t xml:space="preserve">AFD. </w:t>
      </w:r>
    </w:p>
    <w:p w14:paraId="60703E08" w14:textId="77777777" w:rsidR="00DE1511" w:rsidRPr="000F1A1C" w:rsidRDefault="00DE1511" w:rsidP="000F1A1C">
      <w:pPr>
        <w:jc w:val="both"/>
        <w:rPr>
          <w:rFonts w:ascii="Tw Cen MT" w:hAnsi="Tw Cen MT"/>
          <w:sz w:val="22"/>
        </w:rPr>
      </w:pPr>
    </w:p>
    <w:p w14:paraId="4D08A015" w14:textId="77777777" w:rsidR="007F6451" w:rsidRPr="000F1A1C" w:rsidRDefault="007F6451" w:rsidP="000F1A1C">
      <w:pPr>
        <w:jc w:val="both"/>
        <w:rPr>
          <w:rFonts w:ascii="Tw Cen MT" w:hAnsi="Tw Cen MT"/>
          <w:sz w:val="22"/>
        </w:rPr>
      </w:pPr>
      <w:r w:rsidRPr="000F1A1C">
        <w:rPr>
          <w:rFonts w:ascii="Tw Cen MT" w:hAnsi="Tw Cen MT"/>
          <w:sz w:val="22"/>
        </w:rPr>
        <w:t>Le Projet est bâti sur deux grandes composantes comportant chacune des activités et des tâches pouvant se décliner en plusieurs catégories (études techniques, procédures administratives, suivi, pilotage,</w:t>
      </w:r>
      <w:r w:rsidR="00DE1511" w:rsidRPr="000F1A1C">
        <w:rPr>
          <w:rFonts w:ascii="Tw Cen MT" w:hAnsi="Tw Cen MT"/>
          <w:sz w:val="22"/>
        </w:rPr>
        <w:t xml:space="preserve"> AMO</w:t>
      </w:r>
      <w:r w:rsidR="00C81485">
        <w:rPr>
          <w:rStyle w:val="Appelnotedebasdep"/>
          <w:rFonts w:ascii="Tw Cen MT" w:hAnsi="Tw Cen MT"/>
          <w:sz w:val="22"/>
        </w:rPr>
        <w:footnoteReference w:id="3"/>
      </w:r>
      <w:r w:rsidR="00DE1511" w:rsidRPr="000F1A1C">
        <w:rPr>
          <w:rFonts w:ascii="Tw Cen MT" w:hAnsi="Tw Cen MT"/>
          <w:sz w:val="22"/>
        </w:rPr>
        <w:t>, exécution, travaux, etc.)</w:t>
      </w:r>
      <w:r w:rsidR="00E61079">
        <w:rPr>
          <w:rFonts w:ascii="Tw Cen MT" w:hAnsi="Tw Cen MT"/>
          <w:sz w:val="22"/>
        </w:rPr>
        <w:t> :</w:t>
      </w:r>
    </w:p>
    <w:p w14:paraId="5EF22409" w14:textId="77777777" w:rsidR="007F6451" w:rsidRDefault="007F6451" w:rsidP="000F1A1C">
      <w:pPr>
        <w:numPr>
          <w:ilvl w:val="0"/>
          <w:numId w:val="31"/>
        </w:numPr>
        <w:ind w:left="714" w:hanging="357"/>
        <w:jc w:val="both"/>
        <w:rPr>
          <w:rFonts w:ascii="Tw Cen MT" w:hAnsi="Tw Cen MT"/>
        </w:rPr>
      </w:pPr>
      <w:r w:rsidRPr="000F1A1C">
        <w:rPr>
          <w:rFonts w:ascii="Tw Cen MT" w:hAnsi="Tw Cen MT"/>
          <w:sz w:val="22"/>
        </w:rPr>
        <w:t>La composante 1 « Investissements » qui finance la réalisation des infrastructures des mini-réseaux ;</w:t>
      </w:r>
    </w:p>
    <w:p w14:paraId="0A5D6861" w14:textId="02A28D36" w:rsidR="007F6451" w:rsidRPr="000F1A1C" w:rsidRDefault="007F6451" w:rsidP="000F1A1C">
      <w:pPr>
        <w:numPr>
          <w:ilvl w:val="0"/>
          <w:numId w:val="31"/>
        </w:numPr>
        <w:ind w:left="714" w:hanging="357"/>
        <w:jc w:val="both"/>
        <w:rPr>
          <w:rFonts w:ascii="Tw Cen MT" w:hAnsi="Tw Cen MT"/>
        </w:rPr>
      </w:pPr>
      <w:r w:rsidRPr="000F1A1C">
        <w:rPr>
          <w:rFonts w:ascii="Tw Cen MT" w:hAnsi="Tw Cen MT"/>
          <w:sz w:val="22"/>
        </w:rPr>
        <w:t>La composante 2 « Assistance technique » qui finance l’</w:t>
      </w:r>
      <w:r w:rsidR="006A13D6">
        <w:rPr>
          <w:rFonts w:ascii="Tw Cen MT" w:hAnsi="Tw Cen MT"/>
          <w:sz w:val="22"/>
        </w:rPr>
        <w:t xml:space="preserve">Assistance à Maitrise d’Ouvrage </w:t>
      </w:r>
      <w:r w:rsidRPr="000F1A1C">
        <w:rPr>
          <w:rFonts w:ascii="Tw Cen MT" w:hAnsi="Tw Cen MT"/>
          <w:sz w:val="22"/>
        </w:rPr>
        <w:t>à la SOMELEC (AMO), une part du fonctionnement de l’U</w:t>
      </w:r>
      <w:r w:rsidR="0092615B">
        <w:rPr>
          <w:rFonts w:ascii="Tw Cen MT" w:hAnsi="Tw Cen MT"/>
          <w:sz w:val="22"/>
        </w:rPr>
        <w:t>nité de Gestion de Projets (U</w:t>
      </w:r>
      <w:r w:rsidRPr="000F1A1C">
        <w:rPr>
          <w:rFonts w:ascii="Tw Cen MT" w:hAnsi="Tw Cen MT"/>
          <w:sz w:val="22"/>
        </w:rPr>
        <w:t>GP</w:t>
      </w:r>
      <w:r w:rsidR="0092615B">
        <w:rPr>
          <w:rFonts w:ascii="Tw Cen MT" w:hAnsi="Tw Cen MT"/>
          <w:sz w:val="22"/>
        </w:rPr>
        <w:t>) de la SOMELEC</w:t>
      </w:r>
      <w:r w:rsidRPr="000F1A1C">
        <w:rPr>
          <w:rFonts w:ascii="Tw Cen MT" w:hAnsi="Tw Cen MT"/>
          <w:sz w:val="22"/>
        </w:rPr>
        <w:t xml:space="preserve"> et l’expertise d’appui pour le suivi et la coordination de l’action auprès de l’agence de Nouakchott.</w:t>
      </w:r>
    </w:p>
    <w:p w14:paraId="3C7A156C" w14:textId="77777777" w:rsidR="00E61079" w:rsidRPr="00E61079" w:rsidRDefault="00E61079" w:rsidP="00E61079">
      <w:pPr>
        <w:jc w:val="both"/>
        <w:rPr>
          <w:rFonts w:ascii="Tw Cen MT" w:hAnsi="Tw Cen MT"/>
          <w:sz w:val="18"/>
        </w:rPr>
      </w:pPr>
    </w:p>
    <w:p w14:paraId="3294B550" w14:textId="77777777" w:rsidR="007F6451" w:rsidRPr="000F1A1C" w:rsidRDefault="007F6451" w:rsidP="000F1A1C">
      <w:pPr>
        <w:jc w:val="both"/>
        <w:rPr>
          <w:rFonts w:ascii="Tw Cen MT" w:hAnsi="Tw Cen MT"/>
          <w:sz w:val="22"/>
        </w:rPr>
      </w:pPr>
      <w:r w:rsidRPr="000F1A1C">
        <w:rPr>
          <w:rFonts w:ascii="Tw Cen MT" w:hAnsi="Tw Cen MT"/>
          <w:sz w:val="22"/>
        </w:rPr>
        <w:t>Un manuel des opérations et des procédures intégrant l'ensemble des éléments contractuels figurant dans les conventions de financement AFD a été élaboré pour le projet. Il répertorie les procédures et les directives opérationnelles relatives à la gestion du Projet et formalise les procédures de gestion administrative, comptable et financière du Projet, y compris les procédures requises par la législation mauritanienne couvrant les PPPs</w:t>
      </w:r>
      <w:r w:rsidR="0092615B">
        <w:rPr>
          <w:rStyle w:val="Appelnotedebasdep"/>
          <w:rFonts w:ascii="Tw Cen MT" w:hAnsi="Tw Cen MT"/>
          <w:sz w:val="22"/>
        </w:rPr>
        <w:footnoteReference w:id="4"/>
      </w:r>
      <w:r w:rsidRPr="000F1A1C">
        <w:rPr>
          <w:rFonts w:ascii="Tw Cen MT" w:hAnsi="Tw Cen MT"/>
          <w:sz w:val="22"/>
        </w:rPr>
        <w:t>.</w:t>
      </w:r>
    </w:p>
    <w:p w14:paraId="0DFC992E" w14:textId="77777777" w:rsidR="007F6451" w:rsidRPr="000F1A1C" w:rsidRDefault="007F6451" w:rsidP="000F1A1C">
      <w:pPr>
        <w:jc w:val="both"/>
        <w:rPr>
          <w:sz w:val="18"/>
        </w:rPr>
      </w:pPr>
    </w:p>
    <w:p w14:paraId="2E8D2865" w14:textId="5E059A80" w:rsidR="007F6451" w:rsidRPr="000F1A1C" w:rsidRDefault="002A5FF6" w:rsidP="000F1A1C">
      <w:pPr>
        <w:jc w:val="both"/>
        <w:rPr>
          <w:rFonts w:ascii="Tw Cen MT" w:hAnsi="Tw Cen MT"/>
          <w:sz w:val="22"/>
        </w:rPr>
      </w:pPr>
      <w:r>
        <w:rPr>
          <w:rFonts w:ascii="Tw Cen MT" w:hAnsi="Tw Cen MT"/>
          <w:sz w:val="22"/>
        </w:rPr>
        <w:t>C</w:t>
      </w:r>
      <w:r w:rsidR="007F6451" w:rsidRPr="000F1A1C">
        <w:rPr>
          <w:rFonts w:ascii="Tw Cen MT" w:hAnsi="Tw Cen MT"/>
          <w:sz w:val="22"/>
        </w:rPr>
        <w:t xml:space="preserve">ette première phase de financement du Projet </w:t>
      </w:r>
      <w:r>
        <w:rPr>
          <w:rFonts w:ascii="Tw Cen MT" w:hAnsi="Tw Cen MT"/>
          <w:sz w:val="22"/>
        </w:rPr>
        <w:t>vise le raccordement</w:t>
      </w:r>
      <w:r w:rsidR="007F6451" w:rsidRPr="000F1A1C">
        <w:rPr>
          <w:rFonts w:ascii="Tw Cen MT" w:hAnsi="Tw Cen MT"/>
          <w:sz w:val="22"/>
        </w:rPr>
        <w:t xml:space="preserve"> de 24 localités</w:t>
      </w:r>
      <w:r>
        <w:rPr>
          <w:rFonts w:ascii="Tw Cen MT" w:hAnsi="Tw Cen MT"/>
          <w:sz w:val="22"/>
        </w:rPr>
        <w:t>,</w:t>
      </w:r>
      <w:r w:rsidR="007F6451" w:rsidRPr="000F1A1C">
        <w:rPr>
          <w:rFonts w:ascii="Tw Cen MT" w:hAnsi="Tw Cen MT"/>
          <w:sz w:val="22"/>
        </w:rPr>
        <w:t xml:space="preserve"> s’inscrivant dans une planification d’investissement plus large visant un objectif d’électrification de 137 localités rurales (détail de l’avant-projet). Pour compléter cet effort d’investissement et augmenter la cible d’électrification, l’initiative a pu bénéficier chronologiquement d’un financement </w:t>
      </w:r>
      <w:r w:rsidR="007F6451" w:rsidRPr="000F1A1C">
        <w:rPr>
          <w:rFonts w:ascii="Tw Cen MT" w:hAnsi="Tw Cen MT"/>
          <w:i/>
          <w:sz w:val="22"/>
        </w:rPr>
        <w:t xml:space="preserve">parallèle </w:t>
      </w:r>
      <w:r w:rsidR="007F6451" w:rsidRPr="000F1A1C">
        <w:rPr>
          <w:rFonts w:ascii="Tw Cen MT" w:hAnsi="Tw Cen MT"/>
          <w:sz w:val="22"/>
        </w:rPr>
        <w:t>de la Banque Mondiale à hauteur de 20 M$ et d’un financement</w:t>
      </w:r>
      <w:r w:rsidR="007F6451" w:rsidRPr="000F1A1C">
        <w:rPr>
          <w:rFonts w:ascii="Tw Cen MT" w:hAnsi="Tw Cen MT"/>
          <w:i/>
          <w:sz w:val="22"/>
        </w:rPr>
        <w:t xml:space="preserve"> </w:t>
      </w:r>
      <w:r w:rsidR="004F493D" w:rsidRPr="004F493D">
        <w:rPr>
          <w:rFonts w:ascii="Tw Cen MT" w:hAnsi="Tw Cen MT"/>
          <w:i/>
          <w:sz w:val="22"/>
        </w:rPr>
        <w:t>parallèle</w:t>
      </w:r>
      <w:r w:rsidR="004F493D">
        <w:rPr>
          <w:rFonts w:ascii="Tw Cen MT" w:hAnsi="Tw Cen MT"/>
          <w:sz w:val="22"/>
        </w:rPr>
        <w:t xml:space="preserve"> </w:t>
      </w:r>
      <w:r w:rsidR="007F6451" w:rsidRPr="000F1A1C">
        <w:rPr>
          <w:rFonts w:ascii="Tw Cen MT" w:hAnsi="Tw Cen MT"/>
          <w:sz w:val="22"/>
        </w:rPr>
        <w:t>de la BAD de 13,4 M$ dans l’objectif d’étendre le périmètre avec 70</w:t>
      </w:r>
      <w:r w:rsidR="00DE1511" w:rsidRPr="000F1A1C">
        <w:rPr>
          <w:rFonts w:ascii="Tw Cen MT" w:hAnsi="Tw Cen MT"/>
          <w:sz w:val="22"/>
        </w:rPr>
        <w:t xml:space="preserve"> nouvelles</w:t>
      </w:r>
      <w:r w:rsidR="007F6451" w:rsidRPr="000F1A1C">
        <w:rPr>
          <w:rFonts w:ascii="Tw Cen MT" w:hAnsi="Tw Cen MT"/>
          <w:sz w:val="22"/>
        </w:rPr>
        <w:t xml:space="preserve"> localités. Dans un esprit de coordination, l’ensemble des bailleurs se sont entendus pour mobiliser une assistance technique à maîtrise d’ouvrage (AMO) à la SOMELEC sur l’ensemble des périmètres concernés.</w:t>
      </w:r>
    </w:p>
    <w:p w14:paraId="78536462" w14:textId="77777777" w:rsidR="00DE1511" w:rsidRPr="000F1A1C" w:rsidRDefault="00DE1511" w:rsidP="000F1A1C">
      <w:pPr>
        <w:jc w:val="both"/>
        <w:rPr>
          <w:rFonts w:ascii="Tw Cen MT" w:hAnsi="Tw Cen MT"/>
          <w:sz w:val="18"/>
        </w:rPr>
      </w:pPr>
    </w:p>
    <w:p w14:paraId="323EFE8F" w14:textId="77777777" w:rsidR="007F6451" w:rsidRPr="000F1A1C" w:rsidRDefault="007F6451" w:rsidP="000F1A1C">
      <w:pPr>
        <w:jc w:val="both"/>
        <w:rPr>
          <w:rFonts w:ascii="Tw Cen MT" w:hAnsi="Tw Cen MT"/>
        </w:rPr>
      </w:pPr>
      <w:r w:rsidRPr="000F1A1C">
        <w:rPr>
          <w:rFonts w:ascii="Tw Cen MT" w:hAnsi="Tw Cen MT"/>
          <w:sz w:val="22"/>
        </w:rPr>
        <w:t>L’Union européenne et l’AFD ont également décidé de renouveler leur effort de financement et ont engagé des financements complémentaires portant le plan de financement du projet à 24 M€ via l’intégration d’une seconde phase de financement de 11 M€ portant sur 20 nouvelles localités et constituée </w:t>
      </w:r>
      <w:r w:rsidR="00E61079">
        <w:rPr>
          <w:rFonts w:ascii="Tw Cen MT" w:hAnsi="Tw Cen MT"/>
          <w:sz w:val="22"/>
        </w:rPr>
        <w:t xml:space="preserve">i) </w:t>
      </w:r>
      <w:r w:rsidRPr="000F1A1C">
        <w:rPr>
          <w:rFonts w:ascii="Tw Cen MT" w:hAnsi="Tw Cen MT"/>
          <w:sz w:val="22"/>
        </w:rPr>
        <w:t xml:space="preserve">d’une nouvelle délégation de fonds de l’UE à l’AFD de 8 M€ </w:t>
      </w:r>
      <w:r w:rsidR="00E61079">
        <w:rPr>
          <w:rFonts w:ascii="Tw Cen MT" w:hAnsi="Tw Cen MT"/>
          <w:sz w:val="22"/>
        </w:rPr>
        <w:t xml:space="preserve">et ii) </w:t>
      </w:r>
      <w:r w:rsidRPr="000F1A1C">
        <w:rPr>
          <w:rFonts w:ascii="Tw Cen MT" w:hAnsi="Tw Cen MT"/>
          <w:sz w:val="22"/>
        </w:rPr>
        <w:t>de deux nouveaux octrois de subventions AFD d’un total de 3 M€ (octroyés en juillet puis novembre 2023).</w:t>
      </w:r>
    </w:p>
    <w:p w14:paraId="35B890A3" w14:textId="77777777" w:rsidR="00DE1511" w:rsidRPr="000F1A1C" w:rsidRDefault="00DE1511" w:rsidP="000F1A1C">
      <w:pPr>
        <w:ind w:left="720"/>
        <w:jc w:val="both"/>
        <w:rPr>
          <w:rFonts w:ascii="Tw Cen MT" w:hAnsi="Tw Cen MT"/>
          <w:sz w:val="18"/>
        </w:rPr>
      </w:pPr>
    </w:p>
    <w:p w14:paraId="04918B25" w14:textId="33BA7FDF" w:rsidR="007F6451" w:rsidRDefault="007F6451" w:rsidP="000F1A1C">
      <w:pPr>
        <w:jc w:val="both"/>
        <w:rPr>
          <w:rFonts w:ascii="Tw Cen MT" w:hAnsi="Tw Cen MT"/>
          <w:sz w:val="22"/>
        </w:rPr>
      </w:pPr>
      <w:r w:rsidRPr="000F1A1C">
        <w:rPr>
          <w:rFonts w:ascii="Tw Cen MT" w:hAnsi="Tw Cen MT"/>
          <w:sz w:val="22"/>
        </w:rPr>
        <w:t>A date, la convention de contribution entre la Délégation de l’union européenne et l’AFD a été signée et la convention de financement liant l’AFD à l’Etat mauritanien sera signée pour sa part au cours du troisième trimestre 2024.</w:t>
      </w:r>
    </w:p>
    <w:p w14:paraId="5E93BA52" w14:textId="77777777" w:rsidR="00E61079" w:rsidRDefault="00E61079" w:rsidP="00E61079">
      <w:pPr>
        <w:jc w:val="both"/>
        <w:rPr>
          <w:rFonts w:ascii="Tw Cen MT" w:hAnsi="Tw Cen MT"/>
          <w:sz w:val="22"/>
        </w:rPr>
      </w:pPr>
    </w:p>
    <w:p w14:paraId="645FB840" w14:textId="77777777" w:rsidR="00E61079" w:rsidRDefault="00B01A91" w:rsidP="00B01A91">
      <w:pPr>
        <w:jc w:val="center"/>
        <w:rPr>
          <w:rFonts w:ascii="Tw Cen MT" w:hAnsi="Tw Cen MT"/>
          <w:sz w:val="22"/>
        </w:rPr>
      </w:pPr>
      <w:r>
        <w:rPr>
          <w:rFonts w:ascii="Tw Cen MT" w:hAnsi="Tw Cen MT"/>
          <w:sz w:val="22"/>
        </w:rPr>
        <w:t>**</w:t>
      </w:r>
    </w:p>
    <w:p w14:paraId="472C4EA2" w14:textId="77777777" w:rsidR="00E61079" w:rsidRPr="000F1A1C" w:rsidRDefault="00E61079" w:rsidP="00E61079">
      <w:pPr>
        <w:jc w:val="both"/>
        <w:rPr>
          <w:rFonts w:ascii="Tw Cen MT" w:hAnsi="Tw Cen MT"/>
          <w:sz w:val="14"/>
        </w:rPr>
      </w:pPr>
    </w:p>
    <w:p w14:paraId="09D17F76" w14:textId="77777777" w:rsidR="00B01A91" w:rsidRPr="00B01A91" w:rsidRDefault="00B01A91" w:rsidP="00B01A91">
      <w:pPr>
        <w:rPr>
          <w:rFonts w:ascii="Tw Cen MT" w:hAnsi="Tw Cen MT"/>
          <w:b/>
          <w:bCs/>
          <w:sz w:val="22"/>
        </w:rPr>
      </w:pPr>
      <w:r w:rsidRPr="00B01A91">
        <w:rPr>
          <w:rFonts w:ascii="Tw Cen MT" w:hAnsi="Tw Cen MT"/>
          <w:b/>
          <w:bCs/>
          <w:sz w:val="22"/>
        </w:rPr>
        <w:t xml:space="preserve">Résumé des activités </w:t>
      </w:r>
      <w:r>
        <w:rPr>
          <w:rFonts w:ascii="Tw Cen MT" w:hAnsi="Tw Cen MT"/>
          <w:b/>
          <w:bCs/>
          <w:sz w:val="22"/>
        </w:rPr>
        <w:t xml:space="preserve">de la phase I du projet RIMDIR </w:t>
      </w:r>
    </w:p>
    <w:p w14:paraId="451386D7" w14:textId="537F0798" w:rsidR="00B01A91" w:rsidRPr="00B01A91" w:rsidRDefault="0092615B" w:rsidP="00750EC3">
      <w:pPr>
        <w:jc w:val="both"/>
        <w:rPr>
          <w:rFonts w:ascii="Tw Cen MT" w:hAnsi="Tw Cen MT"/>
          <w:sz w:val="22"/>
        </w:rPr>
      </w:pPr>
      <w:r>
        <w:rPr>
          <w:rFonts w:ascii="Tw Cen MT" w:hAnsi="Tw Cen MT"/>
          <w:sz w:val="22"/>
        </w:rPr>
        <w:t xml:space="preserve">Le </w:t>
      </w:r>
      <w:r w:rsidR="00B01A91" w:rsidRPr="00B01A91">
        <w:rPr>
          <w:rFonts w:ascii="Tw Cen MT" w:hAnsi="Tw Cen MT"/>
          <w:sz w:val="22"/>
        </w:rPr>
        <w:t xml:space="preserve">recrutement de </w:t>
      </w:r>
      <w:r>
        <w:rPr>
          <w:rFonts w:ascii="Tw Cen MT" w:hAnsi="Tw Cen MT"/>
          <w:sz w:val="22"/>
        </w:rPr>
        <w:t>l’</w:t>
      </w:r>
      <w:r w:rsidR="00B01A91" w:rsidRPr="00B01A91">
        <w:rPr>
          <w:rFonts w:ascii="Tw Cen MT" w:hAnsi="Tw Cen MT"/>
          <w:sz w:val="22"/>
        </w:rPr>
        <w:t>AMO</w:t>
      </w:r>
      <w:r>
        <w:rPr>
          <w:rFonts w:ascii="Tw Cen MT" w:hAnsi="Tw Cen MT"/>
          <w:sz w:val="22"/>
        </w:rPr>
        <w:t xml:space="preserve"> en appui à la SOMELEC</w:t>
      </w:r>
      <w:r w:rsidR="00750EC3">
        <w:rPr>
          <w:rFonts w:ascii="Tw Cen MT" w:hAnsi="Tw Cen MT"/>
          <w:sz w:val="22"/>
        </w:rPr>
        <w:t xml:space="preserve"> en mai 2023</w:t>
      </w:r>
      <w:r>
        <w:rPr>
          <w:rFonts w:ascii="Tw Cen MT" w:hAnsi="Tw Cen MT"/>
          <w:sz w:val="22"/>
        </w:rPr>
        <w:t xml:space="preserve"> a permis d’accélérer l’avancement de ce projet complexe. Les activités de l’AMO ont permis de préparer la phase de passation des marchés</w:t>
      </w:r>
      <w:r w:rsidR="00B01A91" w:rsidRPr="00B01A91">
        <w:rPr>
          <w:rFonts w:ascii="Tw Cen MT" w:hAnsi="Tw Cen MT"/>
          <w:sz w:val="22"/>
        </w:rPr>
        <w:t xml:space="preserve"> PPP, </w:t>
      </w:r>
      <w:r>
        <w:rPr>
          <w:rFonts w:ascii="Tw Cen MT" w:hAnsi="Tw Cen MT"/>
          <w:sz w:val="22"/>
        </w:rPr>
        <w:t xml:space="preserve">en réalisant </w:t>
      </w:r>
      <w:r w:rsidR="00B01A91" w:rsidRPr="00B01A91">
        <w:rPr>
          <w:rFonts w:ascii="Tw Cen MT" w:hAnsi="Tw Cen MT"/>
          <w:sz w:val="22"/>
        </w:rPr>
        <w:t xml:space="preserve">les études </w:t>
      </w:r>
      <w:r>
        <w:rPr>
          <w:rFonts w:ascii="Tw Cen MT" w:hAnsi="Tw Cen MT"/>
          <w:sz w:val="22"/>
        </w:rPr>
        <w:t xml:space="preserve">techniques nécessaires et en </w:t>
      </w:r>
      <w:r w:rsidR="00B01A91" w:rsidRPr="00B01A91">
        <w:rPr>
          <w:rFonts w:ascii="Tw Cen MT" w:hAnsi="Tw Cen MT"/>
          <w:sz w:val="22"/>
        </w:rPr>
        <w:t>prépar</w:t>
      </w:r>
      <w:r>
        <w:rPr>
          <w:rFonts w:ascii="Tw Cen MT" w:hAnsi="Tw Cen MT"/>
          <w:sz w:val="22"/>
        </w:rPr>
        <w:t>ant</w:t>
      </w:r>
      <w:r w:rsidR="00B01A91" w:rsidRPr="00B01A91">
        <w:rPr>
          <w:rFonts w:ascii="Tw Cen MT" w:hAnsi="Tw Cen MT"/>
          <w:sz w:val="22"/>
        </w:rPr>
        <w:t xml:space="preserve"> le dossier d’appel d’offres. </w:t>
      </w:r>
      <w:r>
        <w:rPr>
          <w:rFonts w:ascii="Tw Cen MT" w:hAnsi="Tw Cen MT"/>
          <w:sz w:val="22"/>
        </w:rPr>
        <w:t xml:space="preserve">Les principales prestations réalisées sont </w:t>
      </w:r>
      <w:r w:rsidR="00B01A91" w:rsidRPr="00B01A91">
        <w:rPr>
          <w:rFonts w:ascii="Tw Cen MT" w:hAnsi="Tw Cen MT"/>
          <w:sz w:val="22"/>
        </w:rPr>
        <w:t>:</w:t>
      </w:r>
    </w:p>
    <w:p w14:paraId="1928D00F" w14:textId="77777777" w:rsidR="00B01A91" w:rsidRPr="00B01A91" w:rsidRDefault="00B01A91" w:rsidP="00B01A91">
      <w:pPr>
        <w:pStyle w:val="Paragraphedeliste"/>
        <w:numPr>
          <w:ilvl w:val="0"/>
          <w:numId w:val="62"/>
        </w:numPr>
        <w:autoSpaceDE w:val="0"/>
        <w:autoSpaceDN w:val="0"/>
        <w:adjustRightInd w:val="0"/>
        <w:spacing w:after="120" w:line="240" w:lineRule="auto"/>
        <w:jc w:val="both"/>
        <w:rPr>
          <w:rFonts w:ascii="Tw Cen MT" w:hAnsi="Tw Cen MT" w:cs="Times New Roman"/>
          <w:szCs w:val="24"/>
        </w:rPr>
      </w:pPr>
      <w:r w:rsidRPr="00B01A91">
        <w:rPr>
          <w:rFonts w:ascii="Tw Cen MT" w:hAnsi="Tw Cen MT" w:cs="Times New Roman"/>
          <w:szCs w:val="24"/>
        </w:rPr>
        <w:t>La validation de l’ensemble des dossiers techniques (APS-APD) pour la réalisation des infrastructures des mini-réseaux sur 120 localités.</w:t>
      </w:r>
    </w:p>
    <w:p w14:paraId="4DC27CC8" w14:textId="77777777" w:rsidR="00B01A91" w:rsidRPr="00B01A91" w:rsidRDefault="00B01A91" w:rsidP="00B01A91">
      <w:pPr>
        <w:pStyle w:val="Paragraphedeliste"/>
        <w:numPr>
          <w:ilvl w:val="0"/>
          <w:numId w:val="62"/>
        </w:numPr>
        <w:autoSpaceDE w:val="0"/>
        <w:autoSpaceDN w:val="0"/>
        <w:adjustRightInd w:val="0"/>
        <w:spacing w:after="120" w:line="240" w:lineRule="auto"/>
        <w:jc w:val="both"/>
        <w:rPr>
          <w:rFonts w:ascii="Tw Cen MT" w:hAnsi="Tw Cen MT" w:cs="Times New Roman"/>
          <w:szCs w:val="24"/>
        </w:rPr>
      </w:pPr>
      <w:r w:rsidRPr="00B01A91">
        <w:rPr>
          <w:rFonts w:ascii="Tw Cen MT" w:hAnsi="Tw Cen MT" w:cs="Times New Roman"/>
          <w:szCs w:val="24"/>
        </w:rPr>
        <w:t xml:space="preserve">La validation par la SOMELEC et le </w:t>
      </w:r>
      <w:r w:rsidR="0092615B">
        <w:rPr>
          <w:rFonts w:ascii="Tw Cen MT" w:hAnsi="Tw Cen MT" w:cs="Times New Roman"/>
          <w:szCs w:val="24"/>
        </w:rPr>
        <w:t>Ministère de l’Energie et du Pétrole (</w:t>
      </w:r>
      <w:r w:rsidR="00750EC3">
        <w:rPr>
          <w:rFonts w:ascii="Tw Cen MT" w:hAnsi="Tw Cen MT" w:cs="Times New Roman"/>
          <w:szCs w:val="24"/>
        </w:rPr>
        <w:t>MEP</w:t>
      </w:r>
      <w:r w:rsidR="0092615B">
        <w:rPr>
          <w:rFonts w:ascii="Tw Cen MT" w:hAnsi="Tw Cen MT" w:cs="Times New Roman"/>
          <w:szCs w:val="24"/>
        </w:rPr>
        <w:t>)</w:t>
      </w:r>
      <w:r w:rsidR="00750EC3">
        <w:rPr>
          <w:rFonts w:ascii="Tw Cen MT" w:hAnsi="Tw Cen MT" w:cs="Times New Roman"/>
          <w:szCs w:val="24"/>
        </w:rPr>
        <w:t xml:space="preserve"> </w:t>
      </w:r>
      <w:r w:rsidRPr="00B01A91">
        <w:rPr>
          <w:rFonts w:ascii="Tw Cen MT" w:hAnsi="Tw Cen MT" w:cs="Times New Roman"/>
          <w:szCs w:val="24"/>
        </w:rPr>
        <w:t>de la procédure de lancement de l’appel d’offres en mode PPP, de son processus d’évaluation puis d’attribution : ces aménagements juridiques se sont traduits par l’actualisation de la note de procédures à intégrer aux futurs avenants des conventions de la première phase et à la future convention entre l’AFD et l’Etat mauritanien.</w:t>
      </w:r>
    </w:p>
    <w:p w14:paraId="3939DA60" w14:textId="77777777" w:rsidR="00B01A91" w:rsidRPr="00B01A91" w:rsidRDefault="00B01A91" w:rsidP="00B01A91">
      <w:pPr>
        <w:pStyle w:val="Paragraphedeliste"/>
        <w:numPr>
          <w:ilvl w:val="0"/>
          <w:numId w:val="62"/>
        </w:numPr>
        <w:autoSpaceDE w:val="0"/>
        <w:autoSpaceDN w:val="0"/>
        <w:adjustRightInd w:val="0"/>
        <w:spacing w:after="120" w:line="240" w:lineRule="auto"/>
        <w:jc w:val="both"/>
        <w:rPr>
          <w:rFonts w:ascii="Tw Cen MT" w:hAnsi="Tw Cen MT" w:cs="Times New Roman"/>
          <w:szCs w:val="24"/>
        </w:rPr>
      </w:pPr>
      <w:r w:rsidRPr="00B01A91">
        <w:rPr>
          <w:rFonts w:ascii="Tw Cen MT" w:hAnsi="Tw Cen MT" w:cs="Times New Roman"/>
          <w:szCs w:val="24"/>
        </w:rPr>
        <w:t>L’élaboration puis la validation officielle par la SOMELEC des importantes études d’évaluation préalable et de soutenabilité budgétaire du Projet (études requises par la loi PPP). Ces</w:t>
      </w:r>
      <w:r w:rsidR="00750EC3">
        <w:rPr>
          <w:rFonts w:ascii="Tw Cen MT" w:hAnsi="Tw Cen MT" w:cs="Times New Roman"/>
          <w:szCs w:val="24"/>
        </w:rPr>
        <w:t xml:space="preserve"> rapports ont été remis à la DG-</w:t>
      </w:r>
      <w:r w:rsidRPr="00B01A91">
        <w:rPr>
          <w:rFonts w:ascii="Tw Cen MT" w:hAnsi="Tw Cen MT" w:cs="Times New Roman"/>
          <w:szCs w:val="24"/>
        </w:rPr>
        <w:t xml:space="preserve">PPP </w:t>
      </w:r>
      <w:r w:rsidRPr="00750EC3">
        <w:rPr>
          <w:rFonts w:ascii="Tw Cen MT" w:hAnsi="Tw Cen MT" w:cs="Times New Roman"/>
          <w:szCs w:val="24"/>
        </w:rPr>
        <w:t>dans l’attente de leur présentation en comité technique puis en comité interministériel (étapes préalables au lancement de l’appel d’offre PPP).</w:t>
      </w:r>
      <w:r w:rsidRPr="00B01A91">
        <w:rPr>
          <w:rFonts w:ascii="Tw Cen MT" w:hAnsi="Tw Cen MT" w:cs="Times New Roman"/>
          <w:szCs w:val="24"/>
        </w:rPr>
        <w:t xml:space="preserve"> </w:t>
      </w:r>
    </w:p>
    <w:p w14:paraId="7B7B66EB" w14:textId="1F0E2ECE" w:rsidR="00B01A91" w:rsidRPr="00B01A91" w:rsidRDefault="00B01A91" w:rsidP="00B01A91">
      <w:pPr>
        <w:pStyle w:val="Paragraphedeliste"/>
        <w:numPr>
          <w:ilvl w:val="0"/>
          <w:numId w:val="62"/>
        </w:numPr>
        <w:autoSpaceDE w:val="0"/>
        <w:autoSpaceDN w:val="0"/>
        <w:adjustRightInd w:val="0"/>
        <w:spacing w:after="120" w:line="240" w:lineRule="auto"/>
        <w:jc w:val="both"/>
        <w:rPr>
          <w:rFonts w:ascii="Tw Cen MT" w:hAnsi="Tw Cen MT" w:cs="Times New Roman"/>
          <w:szCs w:val="24"/>
        </w:rPr>
      </w:pPr>
      <w:r w:rsidRPr="00B01A91">
        <w:rPr>
          <w:rFonts w:ascii="Tw Cen MT" w:hAnsi="Tw Cen MT" w:cs="Times New Roman"/>
          <w:szCs w:val="24"/>
        </w:rPr>
        <w:lastRenderedPageBreak/>
        <w:t xml:space="preserve">La </w:t>
      </w:r>
      <w:r w:rsidR="006A13D6">
        <w:rPr>
          <w:rFonts w:ascii="Tw Cen MT" w:hAnsi="Tw Cen MT" w:cs="Times New Roman"/>
          <w:szCs w:val="24"/>
        </w:rPr>
        <w:t>préparation</w:t>
      </w:r>
      <w:r w:rsidR="006A13D6" w:rsidRPr="00B01A91">
        <w:rPr>
          <w:rFonts w:ascii="Tw Cen MT" w:hAnsi="Tw Cen MT" w:cs="Times New Roman"/>
          <w:szCs w:val="24"/>
        </w:rPr>
        <w:t xml:space="preserve"> </w:t>
      </w:r>
      <w:r w:rsidRPr="00B01A91">
        <w:rPr>
          <w:rFonts w:ascii="Tw Cen MT" w:hAnsi="Tw Cen MT" w:cs="Times New Roman"/>
          <w:szCs w:val="24"/>
        </w:rPr>
        <w:t xml:space="preserve">d’un projet de </w:t>
      </w:r>
      <w:r w:rsidR="006A13D6">
        <w:rPr>
          <w:rFonts w:ascii="Tw Cen MT" w:hAnsi="Tw Cen MT" w:cs="Times New Roman"/>
          <w:szCs w:val="24"/>
        </w:rPr>
        <w:t xml:space="preserve">dossier d’appel d’offres, composé d’un </w:t>
      </w:r>
      <w:r w:rsidRPr="00B01A91">
        <w:rPr>
          <w:rFonts w:ascii="Tw Cen MT" w:hAnsi="Tw Cen MT" w:cs="Times New Roman"/>
          <w:szCs w:val="24"/>
        </w:rPr>
        <w:t>dossier de pré-qualification</w:t>
      </w:r>
      <w:r w:rsidR="006A13D6">
        <w:rPr>
          <w:rFonts w:ascii="Tw Cen MT" w:hAnsi="Tw Cen MT" w:cs="Times New Roman"/>
          <w:szCs w:val="24"/>
        </w:rPr>
        <w:t xml:space="preserve"> (depuis finalisé) et du dossier de consultation, </w:t>
      </w:r>
      <w:r w:rsidRPr="00B01A91">
        <w:rPr>
          <w:rFonts w:ascii="Tw Cen MT" w:hAnsi="Tw Cen MT" w:cs="Times New Roman"/>
          <w:szCs w:val="24"/>
        </w:rPr>
        <w:t>incluant un projet de contrat de Concession d’électrification rurale</w:t>
      </w:r>
    </w:p>
    <w:p w14:paraId="4828419A" w14:textId="7E265007" w:rsidR="00B01A91" w:rsidRDefault="00B01A91" w:rsidP="00750EC3">
      <w:pPr>
        <w:pStyle w:val="Paragraphedeliste"/>
        <w:numPr>
          <w:ilvl w:val="0"/>
          <w:numId w:val="62"/>
        </w:numPr>
        <w:autoSpaceDE w:val="0"/>
        <w:autoSpaceDN w:val="0"/>
        <w:adjustRightInd w:val="0"/>
        <w:spacing w:after="120" w:line="240" w:lineRule="auto"/>
        <w:jc w:val="both"/>
        <w:rPr>
          <w:rFonts w:ascii="Tw Cen MT" w:hAnsi="Tw Cen MT" w:cs="Times New Roman"/>
          <w:szCs w:val="24"/>
        </w:rPr>
      </w:pPr>
      <w:r w:rsidRPr="00B01A91">
        <w:rPr>
          <w:rFonts w:ascii="Tw Cen MT" w:hAnsi="Tw Cen MT" w:cs="Times New Roman"/>
          <w:szCs w:val="24"/>
        </w:rPr>
        <w:t xml:space="preserve">La </w:t>
      </w:r>
      <w:r w:rsidR="0092615B">
        <w:rPr>
          <w:rFonts w:ascii="Tw Cen MT" w:hAnsi="Tw Cen MT" w:cs="Times New Roman"/>
          <w:szCs w:val="24"/>
        </w:rPr>
        <w:t xml:space="preserve">réalisation </w:t>
      </w:r>
      <w:r w:rsidRPr="00B01A91">
        <w:rPr>
          <w:rFonts w:ascii="Tw Cen MT" w:hAnsi="Tw Cen MT" w:cs="Times New Roman"/>
          <w:szCs w:val="24"/>
        </w:rPr>
        <w:t>d’un sondage de marché auprès d’opérateurs privés potentiellement intéressés, afin d’anticiper la finalisation des dossiers d’appel d’offres et précisément ajuster les dossiers de consultations aux besoins des opérateurs (notamment internationaux)</w:t>
      </w:r>
    </w:p>
    <w:p w14:paraId="0C5D622C" w14:textId="5F9C4B32" w:rsidR="006A13D6" w:rsidRPr="00B01A91" w:rsidRDefault="006A13D6" w:rsidP="00750EC3">
      <w:pPr>
        <w:pStyle w:val="Paragraphedeliste"/>
        <w:numPr>
          <w:ilvl w:val="0"/>
          <w:numId w:val="62"/>
        </w:numPr>
        <w:autoSpaceDE w:val="0"/>
        <w:autoSpaceDN w:val="0"/>
        <w:adjustRightInd w:val="0"/>
        <w:spacing w:after="120" w:line="240" w:lineRule="auto"/>
        <w:jc w:val="both"/>
        <w:rPr>
          <w:rFonts w:ascii="Tw Cen MT" w:hAnsi="Tw Cen MT" w:cs="Times New Roman"/>
          <w:szCs w:val="24"/>
        </w:rPr>
      </w:pPr>
      <w:r>
        <w:rPr>
          <w:rFonts w:ascii="Tw Cen MT" w:hAnsi="Tw Cen MT" w:cs="Times New Roman"/>
          <w:szCs w:val="24"/>
        </w:rPr>
        <w:t>L’accompagnement au lancement de la phase de pré-qualification (document publié le 10/09/25)</w:t>
      </w:r>
    </w:p>
    <w:p w14:paraId="4B699114" w14:textId="1ED9096B" w:rsidR="0092615B" w:rsidRPr="00B01A91" w:rsidRDefault="0092615B" w:rsidP="00750EC3">
      <w:pPr>
        <w:jc w:val="both"/>
        <w:rPr>
          <w:rFonts w:ascii="Tw Cen MT" w:hAnsi="Tw Cen MT"/>
          <w:sz w:val="22"/>
        </w:rPr>
      </w:pPr>
      <w:r>
        <w:rPr>
          <w:rFonts w:ascii="Tw Cen MT" w:hAnsi="Tw Cen MT"/>
          <w:sz w:val="22"/>
        </w:rPr>
        <w:t xml:space="preserve">L’AMO aura ensuite pour tâche d’accompagner l’Unité de Gestion de Projets de la Somelec (ainsi que </w:t>
      </w:r>
      <w:r w:rsidR="00135025">
        <w:rPr>
          <w:rFonts w:ascii="Tw Cen MT" w:hAnsi="Tw Cen MT"/>
          <w:sz w:val="22"/>
        </w:rPr>
        <w:t>la Direction Générale des PPPs) dans la conduite de la phase de passation des marchés, du lancement de l’appel d’offres à la négociation</w:t>
      </w:r>
      <w:r w:rsidR="00DF3DED">
        <w:rPr>
          <w:rFonts w:ascii="Tw Cen MT" w:hAnsi="Tw Cen MT"/>
          <w:sz w:val="22"/>
        </w:rPr>
        <w:t xml:space="preserve">, et mise en </w:t>
      </w:r>
      <w:r w:rsidR="006100A1">
        <w:rPr>
          <w:rFonts w:ascii="Tw Cen MT" w:hAnsi="Tw Cen MT"/>
          <w:sz w:val="22"/>
        </w:rPr>
        <w:t>œuvre</w:t>
      </w:r>
      <w:r w:rsidR="00135025">
        <w:rPr>
          <w:rFonts w:ascii="Tw Cen MT" w:hAnsi="Tw Cen MT"/>
          <w:sz w:val="22"/>
        </w:rPr>
        <w:t xml:space="preserve"> du contrat de concession avec le soumissionnaire retenu. </w:t>
      </w:r>
    </w:p>
    <w:p w14:paraId="2BEF87D4" w14:textId="77777777" w:rsidR="00B01A91" w:rsidRPr="00B01A91" w:rsidRDefault="00B01A91" w:rsidP="00750EC3">
      <w:pPr>
        <w:jc w:val="both"/>
        <w:rPr>
          <w:rFonts w:ascii="Tw Cen MT" w:hAnsi="Tw Cen MT"/>
          <w:sz w:val="22"/>
        </w:rPr>
      </w:pPr>
    </w:p>
    <w:p w14:paraId="1F3AA882" w14:textId="4D5E7C0C" w:rsidR="00B01A91" w:rsidRPr="00B01A91" w:rsidRDefault="00B01A91" w:rsidP="006100A1">
      <w:pPr>
        <w:jc w:val="both"/>
        <w:rPr>
          <w:rFonts w:ascii="Tw Cen MT" w:hAnsi="Tw Cen MT"/>
          <w:sz w:val="22"/>
        </w:rPr>
      </w:pPr>
      <w:r w:rsidRPr="00B01A91">
        <w:rPr>
          <w:rFonts w:ascii="Tw Cen MT" w:hAnsi="Tw Cen MT"/>
          <w:sz w:val="22"/>
        </w:rPr>
        <w:t xml:space="preserve">Par ailleurs, un important plaidoyer de l’AFD et de la Délégation de l’Union </w:t>
      </w:r>
      <w:r w:rsidR="00135025">
        <w:rPr>
          <w:rFonts w:ascii="Tw Cen MT" w:hAnsi="Tw Cen MT"/>
          <w:sz w:val="22"/>
        </w:rPr>
        <w:t>E</w:t>
      </w:r>
      <w:r w:rsidRPr="00B01A91">
        <w:rPr>
          <w:rFonts w:ascii="Tw Cen MT" w:hAnsi="Tw Cen MT"/>
          <w:sz w:val="22"/>
        </w:rPr>
        <w:t xml:space="preserve">uropéenne a été conduit depuis </w:t>
      </w:r>
      <w:r w:rsidR="00135025">
        <w:rPr>
          <w:rFonts w:ascii="Tw Cen MT" w:hAnsi="Tw Cen MT"/>
          <w:sz w:val="22"/>
        </w:rPr>
        <w:t>fin</w:t>
      </w:r>
      <w:r w:rsidRPr="00B01A91">
        <w:rPr>
          <w:rFonts w:ascii="Tw Cen MT" w:hAnsi="Tw Cen MT"/>
          <w:sz w:val="22"/>
        </w:rPr>
        <w:t xml:space="preserve"> 2023 dans le cadre d’un dialogue sectoriel (rencontres ministérielles) et politique (rencontres PM - ambassadeurs européens) pour voir confirmer les engagements contractuels des Ministère</w:t>
      </w:r>
      <w:r w:rsidR="00135025">
        <w:rPr>
          <w:rFonts w:ascii="Tw Cen MT" w:hAnsi="Tw Cen MT"/>
          <w:sz w:val="22"/>
        </w:rPr>
        <w:t>s</w:t>
      </w:r>
      <w:r w:rsidRPr="00B01A91">
        <w:rPr>
          <w:rFonts w:ascii="Tw Cen MT" w:hAnsi="Tw Cen MT"/>
          <w:sz w:val="22"/>
        </w:rPr>
        <w:t xml:space="preserve"> de l’Economie et de l’Energie ainsi que de la SOMELEC et le caractère pilote du Projet (modèle PPP </w:t>
      </w:r>
      <w:r w:rsidR="00DF3DED">
        <w:rPr>
          <w:rFonts w:ascii="Tw Cen MT" w:hAnsi="Tw Cen MT"/>
          <w:sz w:val="22"/>
        </w:rPr>
        <w:t>avec</w:t>
      </w:r>
      <w:r w:rsidRPr="00B01A91">
        <w:rPr>
          <w:rFonts w:ascii="Tw Cen MT" w:hAnsi="Tw Cen MT"/>
          <w:sz w:val="22"/>
        </w:rPr>
        <w:t xml:space="preserve"> accord de mécanisme de paiement). </w:t>
      </w:r>
      <w:r w:rsidR="00750EC3">
        <w:rPr>
          <w:rFonts w:ascii="Tw Cen MT" w:hAnsi="Tw Cen MT"/>
          <w:sz w:val="22"/>
        </w:rPr>
        <w:t>L</w:t>
      </w:r>
      <w:r w:rsidRPr="00B01A91">
        <w:rPr>
          <w:rFonts w:ascii="Tw Cen MT" w:hAnsi="Tw Cen MT"/>
          <w:sz w:val="22"/>
        </w:rPr>
        <w:t>’ensemble</w:t>
      </w:r>
      <w:r w:rsidR="00750EC3">
        <w:rPr>
          <w:rFonts w:ascii="Tw Cen MT" w:hAnsi="Tw Cen MT"/>
          <w:sz w:val="22"/>
        </w:rPr>
        <w:t xml:space="preserve"> des partenaires mauritaniens on</w:t>
      </w:r>
      <w:r w:rsidRPr="00B01A91">
        <w:rPr>
          <w:rFonts w:ascii="Tw Cen MT" w:hAnsi="Tw Cen MT"/>
          <w:sz w:val="22"/>
        </w:rPr>
        <w:t>t confirmé cette volonté d’action,</w:t>
      </w:r>
      <w:r w:rsidR="00750EC3">
        <w:rPr>
          <w:rFonts w:ascii="Tw Cen MT" w:hAnsi="Tw Cen MT"/>
          <w:sz w:val="22"/>
        </w:rPr>
        <w:t xml:space="preserve"> qui s’est traduite par la tenue d’un premier comité </w:t>
      </w:r>
      <w:r w:rsidR="00135025">
        <w:rPr>
          <w:rFonts w:ascii="Tw Cen MT" w:hAnsi="Tw Cen MT"/>
          <w:sz w:val="22"/>
        </w:rPr>
        <w:t>technique d’appui</w:t>
      </w:r>
      <w:r w:rsidR="00750EC3">
        <w:rPr>
          <w:rFonts w:ascii="Tw Cen MT" w:hAnsi="Tw Cen MT"/>
          <w:sz w:val="22"/>
        </w:rPr>
        <w:t xml:space="preserve"> </w:t>
      </w:r>
      <w:r w:rsidR="00135025">
        <w:rPr>
          <w:rFonts w:ascii="Tw Cen MT" w:hAnsi="Tw Cen MT"/>
          <w:sz w:val="22"/>
        </w:rPr>
        <w:t>en</w:t>
      </w:r>
      <w:r w:rsidR="00750EC3">
        <w:rPr>
          <w:rFonts w:ascii="Tw Cen MT" w:hAnsi="Tw Cen MT"/>
          <w:sz w:val="22"/>
        </w:rPr>
        <w:t xml:space="preserve"> septembre 2024</w:t>
      </w:r>
      <w:r w:rsidR="006100A1">
        <w:rPr>
          <w:rFonts w:ascii="Tw Cen MT" w:hAnsi="Tw Cen MT"/>
          <w:sz w:val="22"/>
        </w:rPr>
        <w:t>, l</w:t>
      </w:r>
      <w:r w:rsidR="00DF3DED">
        <w:rPr>
          <w:rFonts w:ascii="Tw Cen MT" w:hAnsi="Tw Cen MT"/>
          <w:sz w:val="22"/>
        </w:rPr>
        <w:t xml:space="preserve">a désignation par arrêté d’une unité de gestion en charge de l’évaluation du processus de passation pour cet appel d’offres PPP </w:t>
      </w:r>
      <w:r w:rsidR="006100A1">
        <w:rPr>
          <w:rFonts w:ascii="Tw Cen MT" w:hAnsi="Tw Cen MT"/>
          <w:sz w:val="22"/>
        </w:rPr>
        <w:t xml:space="preserve">le </w:t>
      </w:r>
      <w:r w:rsidR="00DF3DED" w:rsidRPr="005F20E1">
        <w:rPr>
          <w:rFonts w:ascii="Tw Cen MT" w:hAnsi="Tw Cen MT"/>
          <w:sz w:val="22"/>
        </w:rPr>
        <w:t>20 mai 2025</w:t>
      </w:r>
      <w:r w:rsidR="00AF1D3E" w:rsidRPr="005F20E1">
        <w:rPr>
          <w:rFonts w:ascii="Tw Cen MT" w:hAnsi="Tw Cen MT"/>
          <w:sz w:val="22"/>
        </w:rPr>
        <w:t xml:space="preserve"> et l</w:t>
      </w:r>
      <w:r w:rsidR="006100A1">
        <w:rPr>
          <w:rFonts w:ascii="Tw Cen MT" w:hAnsi="Tw Cen MT"/>
          <w:sz w:val="22"/>
        </w:rPr>
        <w:t>a tenue du</w:t>
      </w:r>
      <w:r w:rsidR="00AF1D3E" w:rsidRPr="005F20E1">
        <w:rPr>
          <w:rFonts w:ascii="Tw Cen MT" w:hAnsi="Tw Cen MT"/>
          <w:sz w:val="22"/>
        </w:rPr>
        <w:t xml:space="preserve"> comité de validation interministériel le 3 juin 2025</w:t>
      </w:r>
      <w:r w:rsidR="00750EC3">
        <w:rPr>
          <w:rFonts w:ascii="Tw Cen MT" w:hAnsi="Tw Cen MT"/>
          <w:sz w:val="22"/>
        </w:rPr>
        <w:t xml:space="preserve">. </w:t>
      </w:r>
    </w:p>
    <w:p w14:paraId="285F4A8F" w14:textId="77777777" w:rsidR="00E61079" w:rsidRPr="000F1A1C" w:rsidRDefault="00E61079" w:rsidP="00E61079">
      <w:pPr>
        <w:jc w:val="both"/>
        <w:rPr>
          <w:rFonts w:ascii="Tw Cen MT" w:hAnsi="Tw Cen MT"/>
          <w:sz w:val="10"/>
        </w:rPr>
      </w:pPr>
    </w:p>
    <w:p w14:paraId="6ABC26CA" w14:textId="77777777" w:rsidR="00DE1511" w:rsidRDefault="00DE1511" w:rsidP="000F1A1C">
      <w:pPr>
        <w:spacing w:before="100" w:beforeAutospacing="1" w:after="100" w:afterAutospacing="1"/>
        <w:jc w:val="center"/>
        <w:rPr>
          <w:rFonts w:ascii="Tw Cen MT" w:hAnsi="Tw Cen MT" w:cs="Segoe UI"/>
        </w:rPr>
      </w:pPr>
      <w:r w:rsidRPr="000F1A1C">
        <w:rPr>
          <w:rFonts w:ascii="Tw Cen MT" w:hAnsi="Tw Cen MT" w:cs="Segoe UI"/>
        </w:rPr>
        <w:t>**</w:t>
      </w:r>
    </w:p>
    <w:p w14:paraId="4F29013A" w14:textId="3CC9C6E1" w:rsidR="00DE1511" w:rsidRPr="000F1A1C" w:rsidRDefault="00DE1511" w:rsidP="00DE1511">
      <w:pPr>
        <w:jc w:val="both"/>
        <w:rPr>
          <w:rFonts w:ascii="Tw Cen MT" w:hAnsi="Tw Cen MT"/>
          <w:sz w:val="22"/>
        </w:rPr>
      </w:pPr>
      <w:r w:rsidRPr="000F1A1C">
        <w:rPr>
          <w:rFonts w:ascii="Tw Cen MT" w:hAnsi="Tw Cen MT"/>
          <w:sz w:val="22"/>
        </w:rPr>
        <w:t xml:space="preserve">Se basant sur (i) son expérience de mise en œuvre de projets en Mauritanie, en particulier dans le domaine de l’énergie, (ii) les conditions sécuritaires dans lesquelles le projet se déploiera (iii) les enjeux </w:t>
      </w:r>
      <w:r w:rsidR="006100A1" w:rsidRPr="000F1A1C">
        <w:rPr>
          <w:rFonts w:ascii="Tw Cen MT" w:hAnsi="Tw Cen MT"/>
          <w:sz w:val="22"/>
        </w:rPr>
        <w:t>en termes de</w:t>
      </w:r>
      <w:r w:rsidRPr="000F1A1C">
        <w:rPr>
          <w:rFonts w:ascii="Tw Cen MT" w:hAnsi="Tw Cen MT"/>
          <w:sz w:val="22"/>
        </w:rPr>
        <w:t xml:space="preserve"> coordination sectorielle avec les autorités et les partenaires techniques et financiers (PTF), l’AFD a souhaité renforcer son accompagnement de l’agence de Nouakchott. Dans ce contexte, l’AFD </w:t>
      </w:r>
      <w:r w:rsidR="00750EC3">
        <w:rPr>
          <w:rFonts w:ascii="Tw Cen MT" w:hAnsi="Tw Cen MT"/>
          <w:sz w:val="22"/>
        </w:rPr>
        <w:t xml:space="preserve">est </w:t>
      </w:r>
      <w:r w:rsidRPr="000F1A1C">
        <w:rPr>
          <w:rFonts w:ascii="Tw Cen MT" w:hAnsi="Tw Cen MT"/>
          <w:sz w:val="22"/>
        </w:rPr>
        <w:t>chef de file du groupe des PTF</w:t>
      </w:r>
      <w:r w:rsidR="00F7558A">
        <w:rPr>
          <w:rFonts w:ascii="Tw Cen MT" w:hAnsi="Tw Cen MT"/>
          <w:sz w:val="22"/>
        </w:rPr>
        <w:t>s</w:t>
      </w:r>
      <w:r w:rsidRPr="000F1A1C">
        <w:rPr>
          <w:rFonts w:ascii="Tw Cen MT" w:hAnsi="Tw Cen MT"/>
          <w:sz w:val="22"/>
        </w:rPr>
        <w:t xml:space="preserve"> du secteur de l’électrification rurale</w:t>
      </w:r>
      <w:r w:rsidR="00750EC3" w:rsidRPr="00A950D3">
        <w:rPr>
          <w:rFonts w:ascii="Tw Cen MT" w:hAnsi="Tw Cen MT"/>
          <w:sz w:val="22"/>
        </w:rPr>
        <w:t xml:space="preserve"> e</w:t>
      </w:r>
      <w:r w:rsidR="00750EC3">
        <w:rPr>
          <w:rFonts w:ascii="Tw Cen MT" w:hAnsi="Tw Cen MT"/>
          <w:sz w:val="22"/>
        </w:rPr>
        <w:t>t contribue activement à l’animation d’un groupe sectoriel énergie.</w:t>
      </w:r>
    </w:p>
    <w:p w14:paraId="7320F2D9" w14:textId="77777777" w:rsidR="00DE1511" w:rsidRPr="000F1A1C" w:rsidRDefault="00DE1511" w:rsidP="00DE1511">
      <w:pPr>
        <w:jc w:val="both"/>
        <w:rPr>
          <w:rFonts w:ascii="Tw Cen MT" w:hAnsi="Tw Cen MT"/>
          <w:sz w:val="12"/>
        </w:rPr>
      </w:pPr>
    </w:p>
    <w:p w14:paraId="5211546F" w14:textId="77777777" w:rsidR="00DE1511" w:rsidRPr="000F1A1C" w:rsidRDefault="00DE1511" w:rsidP="00DE1511">
      <w:pPr>
        <w:jc w:val="both"/>
        <w:rPr>
          <w:rFonts w:ascii="Tw Cen MT" w:hAnsi="Tw Cen MT"/>
          <w:sz w:val="22"/>
        </w:rPr>
      </w:pPr>
      <w:r w:rsidRPr="000F1A1C">
        <w:rPr>
          <w:rFonts w:ascii="Tw Cen MT" w:hAnsi="Tw Cen MT"/>
          <w:sz w:val="22"/>
        </w:rPr>
        <w:t>De plus, compte-tenu des attentes politiques qui reposent sur l’Alliance Sahel, la France et la Commission Européenne ont accru les exigences de redevabilité des projets dans la zone.</w:t>
      </w:r>
    </w:p>
    <w:p w14:paraId="6CDB36F1" w14:textId="5AEED2A3" w:rsidR="00C3775E" w:rsidRPr="000F1A1C" w:rsidRDefault="00750EC3" w:rsidP="00E62A94">
      <w:pPr>
        <w:spacing w:before="100" w:beforeAutospacing="1" w:after="100" w:afterAutospacing="1"/>
        <w:jc w:val="both"/>
        <w:rPr>
          <w:rFonts w:ascii="Tw Cen MT" w:hAnsi="Tw Cen MT" w:cs="Segoe UI"/>
          <w:sz w:val="22"/>
        </w:rPr>
      </w:pPr>
      <w:r>
        <w:rPr>
          <w:rFonts w:ascii="Tw Cen MT" w:hAnsi="Tw Cen MT"/>
          <w:sz w:val="22"/>
        </w:rPr>
        <w:t xml:space="preserve">Dans ce contexte, </w:t>
      </w:r>
      <w:r w:rsidR="00DE1511" w:rsidRPr="000F1A1C">
        <w:rPr>
          <w:rFonts w:ascii="Tw Cen MT" w:hAnsi="Tw Cen MT"/>
          <w:sz w:val="22"/>
        </w:rPr>
        <w:t>l’Agence de Nouakchott souhaite solliciter les services d’un.e candidat.e, doté.e de compétence</w:t>
      </w:r>
      <w:r w:rsidR="00135025">
        <w:rPr>
          <w:rFonts w:ascii="Tw Cen MT" w:hAnsi="Tw Cen MT"/>
          <w:sz w:val="22"/>
        </w:rPr>
        <w:t>s</w:t>
      </w:r>
      <w:r w:rsidR="00DE1511" w:rsidRPr="000F1A1C">
        <w:rPr>
          <w:rFonts w:ascii="Tw Cen MT" w:hAnsi="Tw Cen MT"/>
          <w:sz w:val="22"/>
        </w:rPr>
        <w:t xml:space="preserve"> dans le suivi des projets de développement, afin de l’appuyer dans la supervision rapprochée du projet susmentionné. </w:t>
      </w:r>
    </w:p>
    <w:p w14:paraId="30D7ABCB" w14:textId="6BA5068F" w:rsidR="00E62A94" w:rsidRPr="000F1A1C" w:rsidRDefault="00E62A94" w:rsidP="00E62A94">
      <w:pPr>
        <w:spacing w:before="100" w:beforeAutospacing="1" w:after="100" w:afterAutospacing="1"/>
        <w:jc w:val="both"/>
        <w:rPr>
          <w:rFonts w:ascii="Tw Cen MT" w:hAnsi="Tw Cen MT" w:cs="Segoe UI"/>
          <w:sz w:val="22"/>
        </w:rPr>
      </w:pPr>
      <w:r w:rsidRPr="000F1A1C">
        <w:rPr>
          <w:rFonts w:ascii="Tw Cen MT" w:hAnsi="Tw Cen MT" w:cs="Segoe UI"/>
          <w:sz w:val="22"/>
        </w:rPr>
        <w:t>Le présent mandat d’appui s’exécutera sous la supervision du Directeur d’Agence, du Directeur</w:t>
      </w:r>
      <w:r w:rsidR="00AF1D3E">
        <w:rPr>
          <w:rFonts w:ascii="Tw Cen MT" w:hAnsi="Tw Cen MT" w:cs="Segoe UI"/>
          <w:sz w:val="22"/>
        </w:rPr>
        <w:t xml:space="preserve"> </w:t>
      </w:r>
      <w:r w:rsidRPr="000F1A1C">
        <w:rPr>
          <w:rFonts w:ascii="Tw Cen MT" w:hAnsi="Tw Cen MT" w:cs="Segoe UI"/>
          <w:sz w:val="22"/>
        </w:rPr>
        <w:t xml:space="preserve">adjoint </w:t>
      </w:r>
      <w:r w:rsidR="00AF1D3E">
        <w:rPr>
          <w:rFonts w:ascii="Tw Cen MT" w:hAnsi="Tw Cen MT" w:cs="Segoe UI"/>
          <w:sz w:val="22"/>
        </w:rPr>
        <w:t>et.</w:t>
      </w:r>
      <w:r w:rsidRPr="000F1A1C">
        <w:rPr>
          <w:rFonts w:ascii="Tw Cen MT" w:hAnsi="Tw Cen MT" w:cs="Segoe UI"/>
          <w:sz w:val="22"/>
        </w:rPr>
        <w:t xml:space="preserve">ou du responsable de pôle Développement des Infrastructures durables, et concernera à la fois le suivi opérationnel de projets dans le secteur de l’Energie, en lien avec le responsable projets basé au siège de l’AFD (division </w:t>
      </w:r>
      <w:r w:rsidR="00135025">
        <w:rPr>
          <w:rFonts w:ascii="Tw Cen MT" w:hAnsi="Tw Cen MT" w:cs="Segoe UI"/>
          <w:sz w:val="22"/>
        </w:rPr>
        <w:t xml:space="preserve">énergie, </w:t>
      </w:r>
      <w:r w:rsidRPr="000F1A1C">
        <w:rPr>
          <w:rFonts w:ascii="Tw Cen MT" w:hAnsi="Tw Cen MT" w:cs="Segoe UI"/>
          <w:sz w:val="22"/>
        </w:rPr>
        <w:t>EGI) et le suivi des politiques et stratégies dans le secteur de l’énergie.</w:t>
      </w:r>
    </w:p>
    <w:p w14:paraId="71508658" w14:textId="77777777" w:rsidR="00750EC3" w:rsidRDefault="00750EC3" w:rsidP="006475A6">
      <w:pPr>
        <w:pStyle w:val="Default"/>
        <w:jc w:val="both"/>
        <w:rPr>
          <w:rFonts w:ascii="Calibri" w:hAnsi="Calibri" w:cs="Calibri"/>
          <w:sz w:val="22"/>
          <w:szCs w:val="22"/>
        </w:rPr>
      </w:pPr>
    </w:p>
    <w:p w14:paraId="393ED302" w14:textId="77777777" w:rsidR="00E62A94" w:rsidRPr="000F1A1C" w:rsidRDefault="00E62A94" w:rsidP="000F1A1C">
      <w:pPr>
        <w:pStyle w:val="Titre1"/>
        <w:rPr>
          <w:b w:val="0"/>
        </w:rPr>
      </w:pPr>
      <w:r w:rsidRPr="000F1A1C">
        <w:t>Objectifs de la mission</w:t>
      </w:r>
    </w:p>
    <w:p w14:paraId="3A31C314" w14:textId="77777777" w:rsidR="00E62A94" w:rsidRPr="000F1A1C" w:rsidRDefault="00E62A94" w:rsidP="006475A6">
      <w:pPr>
        <w:pStyle w:val="Default"/>
        <w:jc w:val="both"/>
        <w:rPr>
          <w:rFonts w:ascii="Calibri" w:hAnsi="Calibri" w:cs="Calibri"/>
          <w:sz w:val="12"/>
          <w:szCs w:val="22"/>
        </w:rPr>
      </w:pPr>
    </w:p>
    <w:p w14:paraId="22159775" w14:textId="77777777" w:rsidR="00385272" w:rsidRPr="000F1A1C" w:rsidRDefault="00385272" w:rsidP="006475A6">
      <w:pPr>
        <w:pStyle w:val="Default"/>
        <w:jc w:val="both"/>
        <w:rPr>
          <w:rFonts w:ascii="Tw Cen MT" w:hAnsi="Tw Cen MT" w:cs="Calibri"/>
          <w:sz w:val="22"/>
          <w:szCs w:val="22"/>
        </w:rPr>
      </w:pPr>
      <w:r w:rsidRPr="000F1A1C">
        <w:rPr>
          <w:rFonts w:ascii="Tw Cen MT" w:hAnsi="Tw Cen MT" w:cs="Calibri"/>
          <w:sz w:val="22"/>
          <w:szCs w:val="22"/>
        </w:rPr>
        <w:t>Cinq principaux objectifs définissent cette mission</w:t>
      </w:r>
      <w:r w:rsidR="00992296" w:rsidRPr="000F1A1C">
        <w:rPr>
          <w:rFonts w:ascii="Tw Cen MT" w:hAnsi="Tw Cen MT" w:cs="Calibri"/>
          <w:sz w:val="22"/>
          <w:szCs w:val="22"/>
        </w:rPr>
        <w:t> :</w:t>
      </w:r>
    </w:p>
    <w:p w14:paraId="31601808" w14:textId="77777777" w:rsidR="00385272" w:rsidRPr="000F1A1C" w:rsidRDefault="00385272" w:rsidP="00353EAA">
      <w:pPr>
        <w:pStyle w:val="Default"/>
        <w:jc w:val="both"/>
        <w:rPr>
          <w:rFonts w:ascii="Tw Cen MT" w:hAnsi="Tw Cen MT" w:cs="Calibri"/>
          <w:b/>
          <w:sz w:val="12"/>
          <w:szCs w:val="22"/>
        </w:rPr>
      </w:pPr>
    </w:p>
    <w:p w14:paraId="443FD11E" w14:textId="672FE9BA" w:rsidR="005B666A" w:rsidRPr="000F1A1C" w:rsidRDefault="008624B3" w:rsidP="000F1A1C">
      <w:pPr>
        <w:pStyle w:val="Default"/>
      </w:pPr>
      <w:r w:rsidRPr="000F1A1C">
        <w:rPr>
          <w:rFonts w:ascii="Tw Cen MT" w:hAnsi="Tw Cen MT" w:cs="Calibri"/>
          <w:b/>
          <w:szCs w:val="22"/>
        </w:rPr>
        <w:t>OS 1</w:t>
      </w:r>
      <w:r w:rsidR="000B5E82">
        <w:rPr>
          <w:rFonts w:ascii="Tw Cen MT" w:hAnsi="Tw Cen MT" w:cs="Calibri"/>
          <w:b/>
          <w:szCs w:val="22"/>
        </w:rPr>
        <w:t xml:space="preserve"> </w:t>
      </w:r>
      <w:r w:rsidRPr="000F1A1C">
        <w:rPr>
          <w:rFonts w:ascii="Tw Cen MT" w:hAnsi="Tw Cen MT" w:cs="Calibri"/>
          <w:b/>
          <w:szCs w:val="22"/>
        </w:rPr>
        <w:t xml:space="preserve">- </w:t>
      </w:r>
      <w:r w:rsidR="00E62A94" w:rsidRPr="00CC247C">
        <w:rPr>
          <w:rFonts w:ascii="Tw Cen MT" w:hAnsi="Tw Cen MT" w:cs="Calibri"/>
          <w:b/>
        </w:rPr>
        <w:t>Appui et supervision des financements du projet RIMDIR – phase I</w:t>
      </w:r>
      <w:r w:rsidR="00962568">
        <w:rPr>
          <w:rFonts w:ascii="Tw Cen MT" w:hAnsi="Tw Cen MT" w:cs="Calibri"/>
          <w:b/>
        </w:rPr>
        <w:t xml:space="preserve"> et</w:t>
      </w:r>
      <w:r w:rsidR="00E62A94" w:rsidRPr="00CC247C">
        <w:rPr>
          <w:rFonts w:ascii="Tw Cen MT" w:hAnsi="Tw Cen MT" w:cs="Calibri"/>
          <w:b/>
        </w:rPr>
        <w:t xml:space="preserve"> phase II</w:t>
      </w:r>
      <w:r w:rsidR="00AF1D3E">
        <w:rPr>
          <w:rFonts w:ascii="Tw Cen MT" w:hAnsi="Tw Cen MT" w:cs="Calibri"/>
          <w:b/>
        </w:rPr>
        <w:t xml:space="preserve"> </w:t>
      </w:r>
      <w:r w:rsidR="00962568">
        <w:rPr>
          <w:rFonts w:ascii="Tw Cen MT" w:hAnsi="Tw Cen MT" w:cs="Calibri"/>
          <w:b/>
        </w:rPr>
        <w:t xml:space="preserve">– </w:t>
      </w:r>
      <w:r w:rsidR="00AF1D3E">
        <w:rPr>
          <w:rFonts w:ascii="Tw Cen MT" w:hAnsi="Tw Cen MT" w:cs="Calibri"/>
          <w:b/>
        </w:rPr>
        <w:t>et préparation et mise en œuvre d</w:t>
      </w:r>
      <w:r w:rsidR="00385F0E">
        <w:rPr>
          <w:rFonts w:ascii="Tw Cen MT" w:hAnsi="Tw Cen MT" w:cs="Calibri"/>
          <w:b/>
        </w:rPr>
        <w:t>’un</w:t>
      </w:r>
      <w:r w:rsidR="00AF1D3E">
        <w:rPr>
          <w:rFonts w:ascii="Tw Cen MT" w:hAnsi="Tw Cen MT" w:cs="Calibri"/>
          <w:b/>
        </w:rPr>
        <w:t xml:space="preserve">e </w:t>
      </w:r>
      <w:r w:rsidR="00385F0E">
        <w:rPr>
          <w:rFonts w:ascii="Tw Cen MT" w:hAnsi="Tw Cen MT" w:cs="Calibri"/>
          <w:b/>
        </w:rPr>
        <w:t xml:space="preserve">potentielle </w:t>
      </w:r>
      <w:r w:rsidR="00AF1D3E">
        <w:rPr>
          <w:rFonts w:ascii="Tw Cen MT" w:hAnsi="Tw Cen MT" w:cs="Calibri"/>
          <w:b/>
        </w:rPr>
        <w:t>phase III</w:t>
      </w:r>
    </w:p>
    <w:p w14:paraId="77CD9FCC" w14:textId="34266142" w:rsidR="00992296" w:rsidRPr="000F1A1C" w:rsidRDefault="008624B3" w:rsidP="000F1A1C">
      <w:pPr>
        <w:pStyle w:val="Default"/>
        <w:rPr>
          <w:rFonts w:ascii="Tw Cen MT" w:hAnsi="Tw Cen MT" w:cs="Calibri"/>
          <w:b/>
        </w:rPr>
      </w:pPr>
      <w:r w:rsidRPr="000F1A1C">
        <w:rPr>
          <w:rFonts w:ascii="Tw Cen MT" w:hAnsi="Tw Cen MT" w:cs="Calibri"/>
          <w:b/>
          <w:szCs w:val="22"/>
        </w:rPr>
        <w:t>OS 2</w:t>
      </w:r>
      <w:r w:rsidR="000B5E82">
        <w:rPr>
          <w:rFonts w:ascii="Tw Cen MT" w:hAnsi="Tw Cen MT" w:cs="Calibri"/>
          <w:b/>
          <w:szCs w:val="22"/>
        </w:rPr>
        <w:t xml:space="preserve"> </w:t>
      </w:r>
      <w:r w:rsidRPr="000F1A1C">
        <w:rPr>
          <w:rFonts w:ascii="Tw Cen MT" w:hAnsi="Tw Cen MT" w:cs="Calibri"/>
          <w:b/>
          <w:szCs w:val="22"/>
        </w:rPr>
        <w:t xml:space="preserve">- </w:t>
      </w:r>
      <w:r w:rsidR="00E62A94" w:rsidRPr="00CC247C">
        <w:rPr>
          <w:rFonts w:ascii="Tw Cen MT" w:hAnsi="Tw Cen MT" w:cs="Calibri"/>
          <w:b/>
          <w:szCs w:val="22"/>
        </w:rPr>
        <w:t xml:space="preserve">Suivi des politiques et des stratégies sectorielles dans le secteur </w:t>
      </w:r>
      <w:r w:rsidR="00E62A94" w:rsidRPr="000F1A1C">
        <w:rPr>
          <w:rFonts w:ascii="Tw Cen MT" w:hAnsi="Tw Cen MT" w:cs="Calibri"/>
          <w:b/>
          <w:szCs w:val="22"/>
        </w:rPr>
        <w:t>de l’énergie</w:t>
      </w:r>
      <w:r w:rsidR="00F01800" w:rsidRPr="000F1A1C">
        <w:rPr>
          <w:rFonts w:ascii="Tw Cen MT" w:hAnsi="Tw Cen MT" w:cs="Calibri"/>
          <w:b/>
          <w:szCs w:val="22"/>
        </w:rPr>
        <w:t xml:space="preserve"> </w:t>
      </w:r>
      <w:r w:rsidR="00992296" w:rsidRPr="000F1A1C">
        <w:rPr>
          <w:rFonts w:ascii="Tw Cen MT" w:hAnsi="Tw Cen MT" w:cs="Calibri"/>
          <w:b/>
          <w:szCs w:val="22"/>
        </w:rPr>
        <w:t xml:space="preserve">et </w:t>
      </w:r>
      <w:r w:rsidR="00333EEF" w:rsidRPr="000F1A1C">
        <w:rPr>
          <w:rFonts w:ascii="Tw Cen MT" w:hAnsi="Tw Cen MT" w:cs="Calibri"/>
          <w:b/>
          <w:szCs w:val="22"/>
        </w:rPr>
        <w:t xml:space="preserve">  </w:t>
      </w:r>
      <w:r w:rsidR="00333EEF" w:rsidRPr="000F1A1C">
        <w:rPr>
          <w:rFonts w:ascii="Tw Cen MT" w:hAnsi="Tw Cen MT" w:cs="Calibri"/>
          <w:b/>
          <w:szCs w:val="22"/>
        </w:rPr>
        <w:tab/>
      </w:r>
      <w:r w:rsidR="00992296" w:rsidRPr="000F1A1C">
        <w:rPr>
          <w:rFonts w:ascii="Tw Cen MT" w:hAnsi="Tw Cen MT" w:cs="Calibri"/>
          <w:b/>
          <w:szCs w:val="22"/>
        </w:rPr>
        <w:t>p</w:t>
      </w:r>
      <w:r w:rsidR="00354EE5" w:rsidRPr="000F1A1C">
        <w:rPr>
          <w:rFonts w:ascii="Tw Cen MT" w:hAnsi="Tw Cen MT" w:cs="Calibri"/>
          <w:b/>
        </w:rPr>
        <w:t>articipation à l’animation du dialogue sectoriel</w:t>
      </w:r>
    </w:p>
    <w:p w14:paraId="1B9AB3ED" w14:textId="3F6DEEE7" w:rsidR="00385272" w:rsidRPr="000F1A1C" w:rsidRDefault="008624B3" w:rsidP="000F1A1C">
      <w:pPr>
        <w:tabs>
          <w:tab w:val="left" w:pos="7788"/>
        </w:tabs>
        <w:rPr>
          <w:rFonts w:ascii="Tw Cen MT" w:hAnsi="Tw Cen MT" w:cs="Calibri"/>
          <w:b/>
          <w:color w:val="000000"/>
          <w:sz w:val="12"/>
          <w:szCs w:val="22"/>
        </w:rPr>
      </w:pPr>
      <w:r w:rsidRPr="000F1A1C">
        <w:rPr>
          <w:rFonts w:ascii="Tw Cen MT" w:hAnsi="Tw Cen MT" w:cs="Calibri"/>
          <w:b/>
          <w:color w:val="000000"/>
          <w:szCs w:val="22"/>
        </w:rPr>
        <w:t xml:space="preserve">OS </w:t>
      </w:r>
      <w:r w:rsidR="00992296" w:rsidRPr="000F1A1C">
        <w:rPr>
          <w:rFonts w:ascii="Tw Cen MT" w:hAnsi="Tw Cen MT" w:cs="Calibri"/>
          <w:b/>
          <w:color w:val="000000"/>
          <w:szCs w:val="22"/>
        </w:rPr>
        <w:t>3</w:t>
      </w:r>
      <w:r w:rsidR="000B5E82">
        <w:rPr>
          <w:rFonts w:ascii="Tw Cen MT" w:hAnsi="Tw Cen MT" w:cs="Calibri"/>
          <w:b/>
          <w:color w:val="000000"/>
          <w:szCs w:val="22"/>
        </w:rPr>
        <w:t xml:space="preserve"> </w:t>
      </w:r>
      <w:r w:rsidR="00AF1D3E">
        <w:rPr>
          <w:rFonts w:ascii="Tw Cen MT" w:hAnsi="Tw Cen MT" w:cs="Calibri"/>
          <w:b/>
          <w:color w:val="000000"/>
          <w:szCs w:val="22"/>
        </w:rPr>
        <w:t>–</w:t>
      </w:r>
      <w:r w:rsidRPr="000F1A1C">
        <w:rPr>
          <w:rFonts w:ascii="Tw Cen MT" w:hAnsi="Tw Cen MT" w:cs="Calibri"/>
          <w:b/>
          <w:color w:val="000000"/>
          <w:szCs w:val="22"/>
        </w:rPr>
        <w:t xml:space="preserve"> Identification</w:t>
      </w:r>
      <w:r w:rsidR="00AF1D3E">
        <w:rPr>
          <w:rFonts w:ascii="Tw Cen MT" w:hAnsi="Tw Cen MT" w:cs="Calibri"/>
          <w:b/>
          <w:color w:val="000000"/>
          <w:szCs w:val="22"/>
        </w:rPr>
        <w:t xml:space="preserve"> et prospection</w:t>
      </w:r>
      <w:r w:rsidRPr="000F1A1C">
        <w:rPr>
          <w:rFonts w:ascii="Tw Cen MT" w:hAnsi="Tw Cen MT" w:cs="Calibri"/>
          <w:b/>
          <w:color w:val="000000"/>
          <w:szCs w:val="22"/>
        </w:rPr>
        <w:t xml:space="preserve"> de nouveaux projets </w:t>
      </w:r>
      <w:r w:rsidR="000B5E82">
        <w:rPr>
          <w:rFonts w:ascii="Tw Cen MT" w:hAnsi="Tw Cen MT" w:cs="Calibri"/>
          <w:b/>
          <w:color w:val="000000"/>
          <w:sz w:val="12"/>
          <w:szCs w:val="22"/>
        </w:rPr>
        <w:tab/>
      </w:r>
    </w:p>
    <w:p w14:paraId="18F54BFD" w14:textId="79239997" w:rsidR="00385272" w:rsidRPr="000F1A1C" w:rsidRDefault="008624B3" w:rsidP="000F1A1C">
      <w:pPr>
        <w:spacing w:line="259" w:lineRule="auto"/>
        <w:rPr>
          <w:rFonts w:ascii="Tw Cen MT" w:hAnsi="Tw Cen MT" w:cs="Calibri"/>
          <w:b/>
          <w:color w:val="000000"/>
          <w:szCs w:val="22"/>
        </w:rPr>
      </w:pPr>
      <w:r w:rsidRPr="000F1A1C">
        <w:rPr>
          <w:rFonts w:ascii="Tw Cen MT" w:hAnsi="Tw Cen MT" w:cs="Calibri"/>
          <w:b/>
          <w:color w:val="000000"/>
          <w:szCs w:val="22"/>
        </w:rPr>
        <w:t xml:space="preserve">OS </w:t>
      </w:r>
      <w:r w:rsidR="00992296" w:rsidRPr="000F1A1C">
        <w:rPr>
          <w:rFonts w:ascii="Tw Cen MT" w:hAnsi="Tw Cen MT" w:cs="Calibri"/>
          <w:b/>
          <w:color w:val="000000"/>
          <w:szCs w:val="22"/>
        </w:rPr>
        <w:t xml:space="preserve">4 </w:t>
      </w:r>
      <w:r w:rsidR="006100A1">
        <w:rPr>
          <w:rFonts w:ascii="Tw Cen MT" w:hAnsi="Tw Cen MT" w:cs="Calibri"/>
          <w:b/>
          <w:color w:val="000000"/>
          <w:szCs w:val="22"/>
        </w:rPr>
        <w:t>–</w:t>
      </w:r>
      <w:r w:rsidRPr="000F1A1C">
        <w:rPr>
          <w:rFonts w:ascii="Tw Cen MT" w:hAnsi="Tw Cen MT" w:cs="Calibri"/>
          <w:b/>
          <w:color w:val="000000"/>
          <w:szCs w:val="22"/>
        </w:rPr>
        <w:t xml:space="preserve"> Appui</w:t>
      </w:r>
      <w:r w:rsidR="006100A1">
        <w:rPr>
          <w:rFonts w:ascii="Tw Cen MT" w:hAnsi="Tw Cen MT" w:cs="Calibri"/>
          <w:b/>
          <w:color w:val="000000"/>
          <w:szCs w:val="22"/>
        </w:rPr>
        <w:t xml:space="preserve"> </w:t>
      </w:r>
      <w:r w:rsidRPr="000F1A1C">
        <w:rPr>
          <w:rFonts w:ascii="Tw Cen MT" w:hAnsi="Tw Cen MT" w:cs="Calibri"/>
          <w:b/>
          <w:color w:val="000000"/>
          <w:szCs w:val="22"/>
        </w:rPr>
        <w:t xml:space="preserve">et supervision d’autres projets sectoriels </w:t>
      </w:r>
      <w:r w:rsidR="000B5E82">
        <w:rPr>
          <w:rFonts w:ascii="Tw Cen MT" w:hAnsi="Tw Cen MT" w:cs="Calibri"/>
          <w:b/>
          <w:color w:val="000000"/>
          <w:szCs w:val="22"/>
        </w:rPr>
        <w:t xml:space="preserve">(dont </w:t>
      </w:r>
      <w:r w:rsidRPr="000F1A1C">
        <w:rPr>
          <w:rFonts w:ascii="Tw Cen MT" w:hAnsi="Tw Cen MT" w:cs="Calibri"/>
          <w:b/>
          <w:color w:val="000000"/>
          <w:szCs w:val="22"/>
        </w:rPr>
        <w:t>PACSEM</w:t>
      </w:r>
      <w:r w:rsidR="000B5E82">
        <w:rPr>
          <w:rFonts w:ascii="Tw Cen MT" w:hAnsi="Tw Cen MT" w:cs="Calibri"/>
          <w:b/>
          <w:color w:val="000000"/>
          <w:szCs w:val="22"/>
        </w:rPr>
        <w:t xml:space="preserve"> et PIEMM)</w:t>
      </w:r>
    </w:p>
    <w:p w14:paraId="4E167E6D" w14:textId="7DE801BB" w:rsidR="00FE511B" w:rsidRPr="000F1A1C" w:rsidRDefault="00FE511B" w:rsidP="00444A8E">
      <w:pPr>
        <w:autoSpaceDE w:val="0"/>
        <w:autoSpaceDN w:val="0"/>
        <w:adjustRightInd w:val="0"/>
        <w:spacing w:after="120"/>
        <w:jc w:val="both"/>
        <w:rPr>
          <w:rFonts w:ascii="Calibri" w:hAnsi="Calibri" w:cs="Calibri"/>
          <w:color w:val="000000"/>
          <w:sz w:val="22"/>
          <w:szCs w:val="22"/>
        </w:rPr>
      </w:pPr>
    </w:p>
    <w:p w14:paraId="4FFCFBCE" w14:textId="57282B4C" w:rsidR="00A61D13" w:rsidRPr="000F1A1C" w:rsidRDefault="000A0FC5" w:rsidP="000F1A1C">
      <w:pPr>
        <w:pStyle w:val="Titre1"/>
        <w:rPr>
          <w:b w:val="0"/>
        </w:rPr>
      </w:pPr>
      <w:r w:rsidRPr="000F1A1C">
        <w:t>D</w:t>
      </w:r>
      <w:r w:rsidR="0008392A" w:rsidRPr="000F1A1C">
        <w:t>escription de la mission</w:t>
      </w:r>
    </w:p>
    <w:p w14:paraId="3754F05E" w14:textId="77777777" w:rsidR="00F450B3" w:rsidRPr="000F1A1C" w:rsidRDefault="00F450B3" w:rsidP="00DE2037">
      <w:pPr>
        <w:pStyle w:val="Default"/>
        <w:rPr>
          <w:rFonts w:ascii="Calibri" w:hAnsi="Calibri" w:cs="Calibri"/>
          <w:sz w:val="12"/>
          <w:szCs w:val="23"/>
          <w:highlight w:val="yellow"/>
        </w:rPr>
      </w:pPr>
    </w:p>
    <w:p w14:paraId="50961A84" w14:textId="77777777" w:rsidR="00ED589D" w:rsidRPr="00CC247C" w:rsidRDefault="006151E7" w:rsidP="00ED589D">
      <w:pPr>
        <w:pStyle w:val="Default"/>
        <w:jc w:val="both"/>
        <w:rPr>
          <w:rFonts w:ascii="Tw Cen MT" w:hAnsi="Tw Cen MT" w:cs="Segoe UI"/>
          <w:color w:val="auto"/>
          <w:sz w:val="22"/>
        </w:rPr>
      </w:pPr>
      <w:r w:rsidRPr="000F1A1C">
        <w:rPr>
          <w:rFonts w:ascii="Tw Cen MT" w:hAnsi="Tw Cen MT" w:cs="Segoe UI"/>
          <w:color w:val="auto"/>
          <w:sz w:val="22"/>
        </w:rPr>
        <w:t>Au sein</w:t>
      </w:r>
      <w:r w:rsidR="006F394E" w:rsidRPr="000F1A1C">
        <w:rPr>
          <w:rFonts w:ascii="Tw Cen MT" w:hAnsi="Tw Cen MT" w:cs="Segoe UI"/>
          <w:color w:val="auto"/>
          <w:sz w:val="22"/>
        </w:rPr>
        <w:t xml:space="preserve"> de l’agence </w:t>
      </w:r>
      <w:r w:rsidR="00C92439" w:rsidRPr="000F1A1C">
        <w:rPr>
          <w:rFonts w:ascii="Tw Cen MT" w:hAnsi="Tw Cen MT" w:cs="Segoe UI"/>
          <w:color w:val="auto"/>
          <w:sz w:val="22"/>
        </w:rPr>
        <w:t xml:space="preserve">AFD </w:t>
      </w:r>
      <w:r w:rsidR="006F394E" w:rsidRPr="000F1A1C">
        <w:rPr>
          <w:rFonts w:ascii="Tw Cen MT" w:hAnsi="Tw Cen MT" w:cs="Segoe UI"/>
          <w:color w:val="auto"/>
          <w:sz w:val="22"/>
        </w:rPr>
        <w:t xml:space="preserve">de Nouakchott et </w:t>
      </w:r>
      <w:r w:rsidR="00E1602F" w:rsidRPr="00CC247C">
        <w:rPr>
          <w:rFonts w:ascii="Tw Cen MT" w:hAnsi="Tw Cen MT" w:cs="Segoe UI"/>
          <w:color w:val="auto"/>
          <w:sz w:val="22"/>
        </w:rPr>
        <w:t xml:space="preserve">sous la responsabilité de la direction d’Agence et du </w:t>
      </w:r>
      <w:r w:rsidR="00E93860" w:rsidRPr="00CC247C">
        <w:rPr>
          <w:rFonts w:ascii="Tw Cen MT" w:hAnsi="Tw Cen MT" w:cs="Segoe UI"/>
          <w:color w:val="auto"/>
          <w:sz w:val="22"/>
        </w:rPr>
        <w:t>fut</w:t>
      </w:r>
      <w:r w:rsidR="00E93860" w:rsidRPr="00A950D3">
        <w:rPr>
          <w:rFonts w:ascii="Tw Cen MT" w:hAnsi="Tw Cen MT" w:cs="Segoe UI"/>
          <w:color w:val="auto"/>
          <w:sz w:val="22"/>
        </w:rPr>
        <w:t xml:space="preserve">ur </w:t>
      </w:r>
      <w:r w:rsidR="00E1602F" w:rsidRPr="00A950D3">
        <w:rPr>
          <w:rFonts w:ascii="Tw Cen MT" w:hAnsi="Tw Cen MT" w:cs="Segoe UI"/>
          <w:color w:val="auto"/>
          <w:sz w:val="22"/>
        </w:rPr>
        <w:t>responsable de pôle</w:t>
      </w:r>
      <w:r w:rsidR="006F394E" w:rsidRPr="000F1A1C">
        <w:rPr>
          <w:rFonts w:ascii="Tw Cen MT" w:hAnsi="Tw Cen MT" w:cs="Segoe UI"/>
          <w:color w:val="auto"/>
          <w:sz w:val="22"/>
        </w:rPr>
        <w:t xml:space="preserve">, </w:t>
      </w:r>
      <w:r w:rsidR="00761FAC" w:rsidRPr="000F1A1C">
        <w:rPr>
          <w:rFonts w:ascii="Tw Cen MT" w:hAnsi="Tw Cen MT" w:cs="Segoe UI"/>
          <w:color w:val="auto"/>
          <w:sz w:val="22"/>
        </w:rPr>
        <w:t>l</w:t>
      </w:r>
      <w:r w:rsidR="00ED589D" w:rsidRPr="000F1A1C">
        <w:rPr>
          <w:rFonts w:ascii="Tw Cen MT" w:hAnsi="Tw Cen MT" w:cs="Segoe UI"/>
          <w:color w:val="auto"/>
          <w:sz w:val="22"/>
        </w:rPr>
        <w:t>e/la consultant.e assurera principalement les activités suivantes :</w:t>
      </w:r>
    </w:p>
    <w:p w14:paraId="29842806" w14:textId="77777777" w:rsidR="008624B3" w:rsidRPr="000F1A1C" w:rsidRDefault="008624B3" w:rsidP="00ED589D">
      <w:pPr>
        <w:pStyle w:val="Default"/>
        <w:jc w:val="both"/>
        <w:rPr>
          <w:rFonts w:ascii="Tw Cen MT" w:hAnsi="Tw Cen MT" w:cs="Segoe UI"/>
          <w:color w:val="auto"/>
          <w:sz w:val="16"/>
        </w:rPr>
      </w:pPr>
    </w:p>
    <w:p w14:paraId="4E004180" w14:textId="65C82665" w:rsidR="008624B3" w:rsidRPr="000F1A1C" w:rsidRDefault="00992296" w:rsidP="008624B3">
      <w:pPr>
        <w:pStyle w:val="Default"/>
        <w:jc w:val="both"/>
        <w:rPr>
          <w:rFonts w:ascii="Tw Cen MT" w:hAnsi="Tw Cen MT" w:cs="Calibri"/>
          <w:b/>
          <w:szCs w:val="20"/>
        </w:rPr>
      </w:pPr>
      <w:r w:rsidRPr="000F1A1C">
        <w:rPr>
          <w:rFonts w:ascii="Tw Cen MT" w:hAnsi="Tw Cen MT" w:cs="Calibri"/>
          <w:b/>
          <w:szCs w:val="20"/>
        </w:rPr>
        <w:t xml:space="preserve">OS1 - </w:t>
      </w:r>
      <w:r w:rsidR="008624B3" w:rsidRPr="000F1A1C">
        <w:rPr>
          <w:rFonts w:ascii="Tw Cen MT" w:hAnsi="Tw Cen MT" w:cs="Calibri"/>
          <w:b/>
          <w:szCs w:val="20"/>
        </w:rPr>
        <w:t>Appui et supervision des financements du projet RIMDIR – phase I et phase II</w:t>
      </w:r>
      <w:r w:rsidR="00AF1D3E">
        <w:rPr>
          <w:rFonts w:ascii="Tw Cen MT" w:hAnsi="Tw Cen MT" w:cs="Calibri"/>
          <w:b/>
          <w:szCs w:val="20"/>
        </w:rPr>
        <w:t xml:space="preserve"> </w:t>
      </w:r>
      <w:r w:rsidR="00962568">
        <w:rPr>
          <w:rFonts w:ascii="Tw Cen MT" w:hAnsi="Tw Cen MT" w:cs="Calibri"/>
          <w:b/>
          <w:szCs w:val="20"/>
        </w:rPr>
        <w:t xml:space="preserve">– </w:t>
      </w:r>
      <w:r w:rsidR="00AF1D3E">
        <w:rPr>
          <w:rFonts w:ascii="Tw Cen MT" w:hAnsi="Tw Cen MT" w:cs="Calibri"/>
          <w:b/>
          <w:szCs w:val="20"/>
        </w:rPr>
        <w:t xml:space="preserve">et préparation et mise en œuvre </w:t>
      </w:r>
      <w:r w:rsidR="00962568">
        <w:rPr>
          <w:rFonts w:ascii="Tw Cen MT" w:hAnsi="Tw Cen MT" w:cs="Calibri"/>
          <w:b/>
        </w:rPr>
        <w:t xml:space="preserve">d’une potentielle </w:t>
      </w:r>
      <w:r w:rsidR="00AF1D3E">
        <w:rPr>
          <w:rFonts w:ascii="Tw Cen MT" w:hAnsi="Tw Cen MT" w:cs="Calibri"/>
          <w:b/>
          <w:szCs w:val="20"/>
        </w:rPr>
        <w:t>phase III</w:t>
      </w:r>
    </w:p>
    <w:p w14:paraId="2405CD50" w14:textId="77777777" w:rsidR="0008392A" w:rsidRDefault="0008392A" w:rsidP="00ED589D">
      <w:pPr>
        <w:pStyle w:val="Default"/>
        <w:jc w:val="both"/>
        <w:rPr>
          <w:rFonts w:ascii="Tw Cen MT" w:hAnsi="Tw Cen MT" w:cs="Segoe UI"/>
          <w:color w:val="auto"/>
          <w:sz w:val="22"/>
          <w:szCs w:val="20"/>
        </w:rPr>
      </w:pPr>
    </w:p>
    <w:p w14:paraId="0DA24A36" w14:textId="77777777" w:rsidR="00992296" w:rsidRPr="000F1A1C" w:rsidRDefault="00333EEF" w:rsidP="00ED589D">
      <w:pPr>
        <w:pStyle w:val="Default"/>
        <w:jc w:val="both"/>
        <w:rPr>
          <w:rFonts w:ascii="Tw Cen MT" w:hAnsi="Tw Cen MT" w:cs="Segoe UI"/>
          <w:color w:val="auto"/>
          <w:sz w:val="22"/>
          <w:szCs w:val="20"/>
        </w:rPr>
      </w:pPr>
      <w:r w:rsidRPr="000F1A1C">
        <w:rPr>
          <w:rFonts w:ascii="Tw Cen MT" w:hAnsi="Tw Cen MT" w:cs="Segoe UI"/>
          <w:sz w:val="22"/>
        </w:rPr>
        <w:t xml:space="preserve">Cette tâche correspondra pour partie à un mandat de chargé de mission </w:t>
      </w:r>
      <w:r w:rsidR="00454BC8" w:rsidRPr="000F1A1C">
        <w:rPr>
          <w:rFonts w:ascii="Tw Cen MT" w:hAnsi="Tw Cen MT" w:cs="Segoe UI"/>
          <w:sz w:val="22"/>
        </w:rPr>
        <w:t xml:space="preserve">en agence </w:t>
      </w:r>
      <w:r w:rsidRPr="000F1A1C">
        <w:rPr>
          <w:rFonts w:ascii="Tw Cen MT" w:hAnsi="Tw Cen MT" w:cs="Segoe UI"/>
          <w:sz w:val="22"/>
        </w:rPr>
        <w:t xml:space="preserve">et </w:t>
      </w:r>
      <w:r w:rsidR="00992296" w:rsidRPr="00CC247C">
        <w:rPr>
          <w:rFonts w:ascii="Tw Cen MT" w:hAnsi="Tw Cen MT" w:cs="Segoe UI"/>
          <w:sz w:val="22"/>
        </w:rPr>
        <w:t>s’</w:t>
      </w:r>
      <w:r w:rsidRPr="000F1A1C">
        <w:rPr>
          <w:rFonts w:ascii="Tw Cen MT" w:hAnsi="Tw Cen MT" w:cs="Segoe UI"/>
          <w:sz w:val="22"/>
        </w:rPr>
        <w:t>exécutera</w:t>
      </w:r>
      <w:r w:rsidR="00992296" w:rsidRPr="00CC247C">
        <w:rPr>
          <w:rFonts w:ascii="Tw Cen MT" w:hAnsi="Tw Cen MT" w:cs="Segoe UI"/>
          <w:sz w:val="22"/>
        </w:rPr>
        <w:t xml:space="preserve"> en lien avec les départements géographique, technique et juridique du siège de l’AFD.</w:t>
      </w:r>
    </w:p>
    <w:p w14:paraId="2605AC6C" w14:textId="77777777" w:rsidR="000E11B7" w:rsidRPr="000F1A1C" w:rsidRDefault="000E11B7" w:rsidP="00DE2037">
      <w:pPr>
        <w:pStyle w:val="Default"/>
        <w:rPr>
          <w:rFonts w:ascii="Tw Cen MT" w:hAnsi="Tw Cen MT" w:cs="Calibri"/>
          <w:sz w:val="22"/>
          <w:szCs w:val="20"/>
        </w:rPr>
      </w:pPr>
    </w:p>
    <w:p w14:paraId="1D8273B4" w14:textId="272B2277" w:rsidR="007A53C8" w:rsidRPr="000F1A1C" w:rsidRDefault="006F394E" w:rsidP="000F1A1C">
      <w:pPr>
        <w:pStyle w:val="Default"/>
        <w:rPr>
          <w:rFonts w:ascii="Tw Cen MT" w:hAnsi="Tw Cen MT" w:cs="Calibri"/>
          <w:sz w:val="22"/>
          <w:szCs w:val="20"/>
        </w:rPr>
      </w:pPr>
      <w:r w:rsidRPr="000F1A1C">
        <w:rPr>
          <w:rFonts w:ascii="Tw Cen MT" w:hAnsi="Tw Cen MT" w:cs="Calibri"/>
          <w:b/>
          <w:sz w:val="22"/>
          <w:szCs w:val="20"/>
        </w:rPr>
        <w:t>Co</w:t>
      </w:r>
      <w:r w:rsidR="008624B3" w:rsidRPr="000F1A1C">
        <w:rPr>
          <w:rFonts w:ascii="Tw Cen MT" w:hAnsi="Tw Cen MT" w:cs="Calibri"/>
          <w:b/>
          <w:sz w:val="22"/>
          <w:szCs w:val="20"/>
        </w:rPr>
        <w:t xml:space="preserve">ncernant </w:t>
      </w:r>
      <w:r w:rsidR="007A53C8" w:rsidRPr="000F1A1C">
        <w:rPr>
          <w:rFonts w:ascii="Tw Cen MT" w:hAnsi="Tw Cen MT" w:cs="Calibri"/>
          <w:b/>
          <w:sz w:val="22"/>
          <w:szCs w:val="20"/>
        </w:rPr>
        <w:t>la</w:t>
      </w:r>
      <w:r w:rsidR="00C35833" w:rsidRPr="000F1A1C">
        <w:rPr>
          <w:rFonts w:ascii="Tw Cen MT" w:hAnsi="Tw Cen MT" w:cs="Calibri"/>
          <w:b/>
          <w:sz w:val="22"/>
          <w:szCs w:val="20"/>
        </w:rPr>
        <w:t xml:space="preserve"> bonne mise en œuvre </w:t>
      </w:r>
      <w:r w:rsidR="00AA5079" w:rsidRPr="000F1A1C">
        <w:rPr>
          <w:rFonts w:ascii="Tw Cen MT" w:hAnsi="Tw Cen MT" w:cs="Calibri"/>
          <w:b/>
          <w:sz w:val="22"/>
          <w:szCs w:val="20"/>
        </w:rPr>
        <w:t xml:space="preserve">technique </w:t>
      </w:r>
      <w:r w:rsidR="00C35833" w:rsidRPr="000F1A1C">
        <w:rPr>
          <w:rFonts w:ascii="Tw Cen MT" w:hAnsi="Tw Cen MT" w:cs="Calibri"/>
          <w:b/>
          <w:sz w:val="22"/>
          <w:szCs w:val="20"/>
        </w:rPr>
        <w:t>du projet</w:t>
      </w:r>
      <w:r w:rsidR="00424C89" w:rsidRPr="000F1A1C">
        <w:rPr>
          <w:rFonts w:ascii="Tw Cen MT" w:hAnsi="Tw Cen MT" w:cs="Calibri"/>
          <w:sz w:val="22"/>
          <w:szCs w:val="20"/>
        </w:rPr>
        <w:t>:</w:t>
      </w:r>
    </w:p>
    <w:p w14:paraId="309D8B3F" w14:textId="4A75EA4D" w:rsidR="003451BE" w:rsidRPr="000F1A1C" w:rsidRDefault="00212291" w:rsidP="00454BC8">
      <w:pPr>
        <w:pStyle w:val="Default"/>
        <w:numPr>
          <w:ilvl w:val="0"/>
          <w:numId w:val="46"/>
        </w:numPr>
        <w:ind w:left="709" w:hanging="283"/>
        <w:jc w:val="both"/>
        <w:rPr>
          <w:rFonts w:ascii="Tw Cen MT" w:hAnsi="Tw Cen MT" w:cs="Calibri"/>
          <w:color w:val="auto"/>
          <w:sz w:val="22"/>
          <w:szCs w:val="20"/>
        </w:rPr>
      </w:pPr>
      <w:r w:rsidRPr="008E3CED">
        <w:rPr>
          <w:rFonts w:ascii="Tw Cen MT" w:hAnsi="Tw Cen MT" w:cs="Calibri"/>
          <w:color w:val="auto"/>
          <w:sz w:val="22"/>
          <w:szCs w:val="20"/>
        </w:rPr>
        <w:t xml:space="preserve">Suivi </w:t>
      </w:r>
      <w:r w:rsidR="003451BE" w:rsidRPr="000F1A1C">
        <w:rPr>
          <w:rFonts w:ascii="Tw Cen MT" w:hAnsi="Tw Cen MT" w:cs="Calibri"/>
          <w:color w:val="auto"/>
          <w:sz w:val="22"/>
          <w:szCs w:val="20"/>
        </w:rPr>
        <w:t>du processus d’élaboration, de validation et de mise en œuvre du projet </w:t>
      </w:r>
      <w:r w:rsidR="00454BC8">
        <w:rPr>
          <w:rFonts w:ascii="Tw Cen MT" w:hAnsi="Tw Cen MT" w:cs="Calibri"/>
          <w:color w:val="auto"/>
          <w:sz w:val="22"/>
          <w:szCs w:val="20"/>
        </w:rPr>
        <w:t xml:space="preserve">RIMDIR </w:t>
      </w:r>
      <w:r w:rsidR="00AA5079" w:rsidRPr="000F1A1C">
        <w:rPr>
          <w:rFonts w:ascii="Tw Cen MT" w:hAnsi="Tw Cen MT" w:cs="Calibri"/>
          <w:color w:val="auto"/>
          <w:sz w:val="22"/>
          <w:szCs w:val="20"/>
        </w:rPr>
        <w:t>(phase</w:t>
      </w:r>
      <w:r w:rsidR="00E1602F" w:rsidRPr="008E3CED">
        <w:rPr>
          <w:rFonts w:ascii="Tw Cen MT" w:hAnsi="Tw Cen MT" w:cs="Calibri"/>
          <w:color w:val="auto"/>
          <w:sz w:val="22"/>
          <w:szCs w:val="20"/>
        </w:rPr>
        <w:t>s</w:t>
      </w:r>
      <w:r w:rsidR="00AA5079" w:rsidRPr="000F1A1C">
        <w:rPr>
          <w:rFonts w:ascii="Tw Cen MT" w:hAnsi="Tw Cen MT" w:cs="Calibri"/>
          <w:color w:val="auto"/>
          <w:sz w:val="22"/>
          <w:szCs w:val="20"/>
        </w:rPr>
        <w:t xml:space="preserve"> I et II)</w:t>
      </w:r>
      <w:r w:rsidR="00E3135F">
        <w:rPr>
          <w:rFonts w:ascii="Tw Cen MT" w:hAnsi="Tw Cen MT" w:cs="Calibri"/>
          <w:color w:val="auto"/>
          <w:sz w:val="22"/>
          <w:szCs w:val="20"/>
        </w:rPr>
        <w:t xml:space="preserve"> : </w:t>
      </w:r>
      <w:r w:rsidR="00454BC8">
        <w:rPr>
          <w:rFonts w:ascii="Tw Cen MT" w:hAnsi="Tw Cen MT" w:cs="Calibri"/>
          <w:color w:val="auto"/>
          <w:sz w:val="22"/>
          <w:szCs w:val="20"/>
        </w:rPr>
        <w:t>budget-programme annuel, plan de passation des marchés/PPM</w:t>
      </w:r>
      <w:r w:rsidR="00E3135F">
        <w:rPr>
          <w:rFonts w:ascii="Tw Cen MT" w:hAnsi="Tw Cen MT" w:cs="Calibri"/>
          <w:color w:val="auto"/>
          <w:sz w:val="22"/>
          <w:szCs w:val="20"/>
        </w:rPr>
        <w:t xml:space="preserve">, rapports d’exécution, actualisation du manuel de </w:t>
      </w:r>
      <w:r w:rsidR="00454BC8">
        <w:rPr>
          <w:rFonts w:ascii="Tw Cen MT" w:hAnsi="Tw Cen MT" w:cs="Calibri"/>
          <w:color w:val="auto"/>
          <w:sz w:val="22"/>
          <w:szCs w:val="20"/>
        </w:rPr>
        <w:t>procédures</w:t>
      </w:r>
      <w:r w:rsidR="00E3135F">
        <w:rPr>
          <w:rFonts w:ascii="Tw Cen MT" w:hAnsi="Tw Cen MT" w:cs="Calibri"/>
          <w:color w:val="auto"/>
          <w:sz w:val="22"/>
          <w:szCs w:val="20"/>
        </w:rPr>
        <w:t>, préparation des comités de pilotage</w:t>
      </w:r>
      <w:r w:rsidR="00454BC8">
        <w:rPr>
          <w:rFonts w:ascii="Tw Cen MT" w:hAnsi="Tw Cen MT" w:cs="Calibri"/>
          <w:color w:val="auto"/>
          <w:sz w:val="22"/>
          <w:szCs w:val="20"/>
        </w:rPr>
        <w:t>, levée des conditions suspensives de la phase II</w:t>
      </w:r>
      <w:r w:rsidR="000B5E82">
        <w:rPr>
          <w:rFonts w:ascii="Tw Cen MT" w:hAnsi="Tw Cen MT" w:cs="Calibri"/>
          <w:color w:val="auto"/>
          <w:sz w:val="22"/>
          <w:szCs w:val="20"/>
        </w:rPr>
        <w:t xml:space="preserve">, suivi des engagements du plan </w:t>
      </w:r>
      <w:r w:rsidR="00385F0E">
        <w:rPr>
          <w:rFonts w:ascii="Tw Cen MT" w:hAnsi="Tw Cen MT" w:cs="Calibri"/>
          <w:color w:val="auto"/>
          <w:sz w:val="22"/>
          <w:szCs w:val="20"/>
        </w:rPr>
        <w:t xml:space="preserve">d’engagement </w:t>
      </w:r>
      <w:r w:rsidR="000B5E82">
        <w:rPr>
          <w:rFonts w:ascii="Tw Cen MT" w:hAnsi="Tw Cen MT" w:cs="Calibri"/>
          <w:color w:val="auto"/>
          <w:sz w:val="22"/>
          <w:szCs w:val="20"/>
        </w:rPr>
        <w:t>environnemental et social et du plan d’action genre,</w:t>
      </w:r>
      <w:r w:rsidR="00454BC8">
        <w:rPr>
          <w:rFonts w:ascii="Tw Cen MT" w:hAnsi="Tw Cen MT" w:cs="Calibri"/>
          <w:color w:val="auto"/>
          <w:sz w:val="22"/>
          <w:szCs w:val="20"/>
        </w:rPr>
        <w:t xml:space="preserve"> </w:t>
      </w:r>
      <w:r w:rsidR="00E3135F">
        <w:rPr>
          <w:rFonts w:ascii="Tw Cen MT" w:hAnsi="Tw Cen MT" w:cs="Calibri"/>
          <w:color w:val="auto"/>
          <w:sz w:val="22"/>
          <w:szCs w:val="20"/>
        </w:rPr>
        <w:t>etc.</w:t>
      </w:r>
    </w:p>
    <w:p w14:paraId="26F3B4F9" w14:textId="77F9224C" w:rsidR="008C1AC3" w:rsidRPr="008E3CED" w:rsidRDefault="00212291" w:rsidP="00454BC8">
      <w:pPr>
        <w:pStyle w:val="Default"/>
        <w:numPr>
          <w:ilvl w:val="0"/>
          <w:numId w:val="46"/>
        </w:numPr>
        <w:ind w:left="709" w:hanging="283"/>
        <w:jc w:val="both"/>
        <w:rPr>
          <w:rFonts w:ascii="Tw Cen MT" w:hAnsi="Tw Cen MT" w:cs="Calibri"/>
          <w:color w:val="auto"/>
          <w:sz w:val="22"/>
          <w:szCs w:val="20"/>
        </w:rPr>
      </w:pPr>
      <w:r w:rsidRPr="008E3CED">
        <w:rPr>
          <w:rFonts w:ascii="Tw Cen MT" w:hAnsi="Tw Cen MT" w:cs="Calibri"/>
          <w:color w:val="auto"/>
          <w:sz w:val="22"/>
          <w:szCs w:val="20"/>
        </w:rPr>
        <w:t xml:space="preserve">Supervision </w:t>
      </w:r>
      <w:r w:rsidR="008C1AC3" w:rsidRPr="000F1A1C">
        <w:rPr>
          <w:rFonts w:ascii="Tw Cen MT" w:hAnsi="Tw Cen MT" w:cs="Calibri"/>
          <w:color w:val="auto"/>
          <w:sz w:val="22"/>
          <w:szCs w:val="20"/>
        </w:rPr>
        <w:t xml:space="preserve">quotidienne du projet pour </w:t>
      </w:r>
      <w:r w:rsidR="007A53C8" w:rsidRPr="000F1A1C">
        <w:rPr>
          <w:rFonts w:ascii="Tw Cen MT" w:hAnsi="Tw Cen MT" w:cs="Calibri"/>
          <w:color w:val="auto"/>
          <w:sz w:val="22"/>
          <w:szCs w:val="20"/>
        </w:rPr>
        <w:t xml:space="preserve">le compte de </w:t>
      </w:r>
      <w:r w:rsidR="008C1AC3" w:rsidRPr="000F1A1C">
        <w:rPr>
          <w:rFonts w:ascii="Tw Cen MT" w:hAnsi="Tw Cen MT" w:cs="Calibri"/>
          <w:color w:val="auto"/>
          <w:sz w:val="22"/>
          <w:szCs w:val="20"/>
        </w:rPr>
        <w:t>l’agence AFD</w:t>
      </w:r>
      <w:r w:rsidR="00E1602F" w:rsidRPr="008E3CED">
        <w:rPr>
          <w:rFonts w:ascii="Tw Cen MT" w:hAnsi="Tw Cen MT" w:cs="Calibri"/>
          <w:color w:val="auto"/>
          <w:sz w:val="22"/>
          <w:szCs w:val="20"/>
        </w:rPr>
        <w:t xml:space="preserve"> de Nouakchott</w:t>
      </w:r>
      <w:r w:rsidR="00454BC8">
        <w:rPr>
          <w:rFonts w:ascii="Tw Cen MT" w:hAnsi="Tw Cen MT" w:cs="Calibri"/>
          <w:color w:val="auto"/>
          <w:sz w:val="22"/>
          <w:szCs w:val="20"/>
        </w:rPr>
        <w:t>.</w:t>
      </w:r>
      <w:r w:rsidR="00E1602F" w:rsidRPr="008E3CED">
        <w:rPr>
          <w:rFonts w:ascii="Tw Cen MT" w:hAnsi="Tw Cen MT" w:cs="Calibri"/>
          <w:color w:val="auto"/>
          <w:sz w:val="22"/>
          <w:szCs w:val="20"/>
        </w:rPr>
        <w:t> </w:t>
      </w:r>
    </w:p>
    <w:p w14:paraId="6E727A10" w14:textId="77777777" w:rsidR="003C49F7" w:rsidRPr="000F1A1C" w:rsidRDefault="003C49F7" w:rsidP="00454BC8">
      <w:pPr>
        <w:pStyle w:val="Default"/>
        <w:numPr>
          <w:ilvl w:val="0"/>
          <w:numId w:val="46"/>
        </w:numPr>
        <w:ind w:left="709" w:hanging="283"/>
        <w:jc w:val="both"/>
        <w:rPr>
          <w:rFonts w:ascii="Tw Cen MT" w:hAnsi="Tw Cen MT" w:cs="Calibri"/>
          <w:color w:val="auto"/>
          <w:sz w:val="22"/>
          <w:szCs w:val="20"/>
        </w:rPr>
      </w:pPr>
      <w:r w:rsidRPr="003C49F7">
        <w:rPr>
          <w:rFonts w:ascii="Tw Cen MT" w:hAnsi="Tw Cen MT" w:cs="Calibri"/>
          <w:color w:val="auto"/>
          <w:sz w:val="22"/>
          <w:szCs w:val="20"/>
        </w:rPr>
        <w:t>Analyse de la documentation technique transmise par les partenaires mettant en œuvre le projet afin de</w:t>
      </w:r>
      <w:r w:rsidR="00454BC8">
        <w:rPr>
          <w:rFonts w:ascii="Tw Cen MT" w:hAnsi="Tw Cen MT" w:cs="Calibri"/>
          <w:color w:val="auto"/>
          <w:sz w:val="22"/>
          <w:szCs w:val="20"/>
        </w:rPr>
        <w:t xml:space="preserve"> faciliter le traitement des demandes d’avis de non objection par la division technique énergie du</w:t>
      </w:r>
      <w:r w:rsidRPr="003C49F7">
        <w:rPr>
          <w:rFonts w:ascii="Tw Cen MT" w:hAnsi="Tw Cen MT" w:cs="Calibri"/>
          <w:color w:val="auto"/>
          <w:sz w:val="22"/>
          <w:szCs w:val="20"/>
        </w:rPr>
        <w:t xml:space="preserve"> siège de l’AFD (y compris les documents </w:t>
      </w:r>
      <w:r w:rsidR="005F2C9D">
        <w:rPr>
          <w:rFonts w:ascii="Tw Cen MT" w:hAnsi="Tw Cen MT" w:cs="Calibri"/>
          <w:color w:val="auto"/>
          <w:sz w:val="22"/>
          <w:szCs w:val="20"/>
        </w:rPr>
        <w:t xml:space="preserve">de </w:t>
      </w:r>
      <w:r w:rsidRPr="003C49F7">
        <w:rPr>
          <w:rFonts w:ascii="Tw Cen MT" w:hAnsi="Tw Cen MT" w:cs="Calibri"/>
          <w:color w:val="auto"/>
          <w:sz w:val="22"/>
          <w:szCs w:val="20"/>
        </w:rPr>
        <w:t>passation des marchés).</w:t>
      </w:r>
    </w:p>
    <w:p w14:paraId="38C1AE33" w14:textId="28AA5E3F" w:rsidR="00E93860" w:rsidRPr="00CC247C" w:rsidRDefault="00E93860" w:rsidP="000F1A1C">
      <w:pPr>
        <w:pStyle w:val="Default"/>
        <w:numPr>
          <w:ilvl w:val="0"/>
          <w:numId w:val="46"/>
        </w:numPr>
        <w:ind w:left="709" w:hanging="283"/>
        <w:jc w:val="both"/>
        <w:rPr>
          <w:rFonts w:ascii="Tw Cen MT" w:hAnsi="Tw Cen MT" w:cs="Calibri"/>
          <w:color w:val="auto"/>
          <w:sz w:val="22"/>
          <w:szCs w:val="20"/>
        </w:rPr>
      </w:pPr>
      <w:r w:rsidRPr="008E3CED">
        <w:rPr>
          <w:rFonts w:ascii="Tw Cen MT" w:hAnsi="Tw Cen MT" w:cs="Calibri"/>
          <w:color w:val="auto"/>
          <w:sz w:val="22"/>
          <w:szCs w:val="20"/>
        </w:rPr>
        <w:t xml:space="preserve">Production </w:t>
      </w:r>
      <w:r w:rsidR="00353EAA" w:rsidRPr="008E3CED">
        <w:rPr>
          <w:rFonts w:ascii="Tw Cen MT" w:hAnsi="Tw Cen MT" w:cs="Calibri"/>
          <w:color w:val="auto"/>
          <w:sz w:val="22"/>
          <w:szCs w:val="20"/>
        </w:rPr>
        <w:t xml:space="preserve">et renseignement </w:t>
      </w:r>
      <w:r w:rsidR="00424C89" w:rsidRPr="000F1A1C">
        <w:rPr>
          <w:rFonts w:ascii="Tw Cen MT" w:hAnsi="Tw Cen MT" w:cs="Calibri"/>
          <w:color w:val="auto"/>
          <w:sz w:val="22"/>
          <w:szCs w:val="20"/>
        </w:rPr>
        <w:t>d</w:t>
      </w:r>
      <w:r w:rsidR="00454BC8">
        <w:rPr>
          <w:rFonts w:ascii="Tw Cen MT" w:hAnsi="Tw Cen MT" w:cs="Calibri"/>
          <w:color w:val="auto"/>
          <w:sz w:val="22"/>
          <w:szCs w:val="20"/>
        </w:rPr>
        <w:t xml:space="preserve">’outils de suivi </w:t>
      </w:r>
      <w:r w:rsidR="00454BC8" w:rsidRPr="00D035D2">
        <w:rPr>
          <w:rFonts w:ascii="Tw Cen MT" w:hAnsi="Tw Cen MT" w:cs="Calibri"/>
          <w:color w:val="auto"/>
          <w:sz w:val="22"/>
          <w:szCs w:val="20"/>
        </w:rPr>
        <w:t xml:space="preserve">permettant d’assurer un suivi efficace du </w:t>
      </w:r>
      <w:r w:rsidR="00454BC8" w:rsidRPr="008E3CED">
        <w:rPr>
          <w:rFonts w:ascii="Tw Cen MT" w:hAnsi="Tw Cen MT" w:cs="Calibri"/>
          <w:color w:val="auto"/>
          <w:sz w:val="22"/>
          <w:szCs w:val="20"/>
        </w:rPr>
        <w:t>Projet</w:t>
      </w:r>
      <w:r w:rsidR="00454BC8">
        <w:rPr>
          <w:rFonts w:ascii="Tw Cen MT" w:hAnsi="Tw Cen MT" w:cs="Calibri"/>
          <w:color w:val="auto"/>
          <w:sz w:val="22"/>
          <w:szCs w:val="20"/>
        </w:rPr>
        <w:t xml:space="preserve"> (suivi des marchés et des passations, </w:t>
      </w:r>
      <w:r w:rsidRPr="008E3CED">
        <w:rPr>
          <w:rFonts w:ascii="Tw Cen MT" w:hAnsi="Tw Cen MT" w:cs="Calibri"/>
          <w:color w:val="auto"/>
          <w:sz w:val="22"/>
          <w:szCs w:val="20"/>
        </w:rPr>
        <w:t xml:space="preserve">prévisions et suivi </w:t>
      </w:r>
      <w:r w:rsidRPr="00CC247C">
        <w:rPr>
          <w:rFonts w:ascii="Tw Cen MT" w:hAnsi="Tw Cen MT" w:cs="Calibri"/>
          <w:color w:val="auto"/>
          <w:sz w:val="22"/>
          <w:szCs w:val="20"/>
        </w:rPr>
        <w:t>des demandes de versements</w:t>
      </w:r>
      <w:r w:rsidRPr="00A950D3">
        <w:rPr>
          <w:rFonts w:ascii="Tw Cen MT" w:hAnsi="Tw Cen MT" w:cs="Calibri"/>
          <w:color w:val="auto"/>
          <w:sz w:val="22"/>
          <w:szCs w:val="20"/>
        </w:rPr>
        <w:t>, suivi des engagements particuliers</w:t>
      </w:r>
      <w:r w:rsidR="00AF1D3E">
        <w:rPr>
          <w:rFonts w:ascii="Tw Cen MT" w:hAnsi="Tw Cen MT" w:cs="Calibri"/>
          <w:color w:val="auto"/>
          <w:sz w:val="22"/>
          <w:szCs w:val="20"/>
        </w:rPr>
        <w:t>, suivi des indicateurs de résultats et d’impact,</w:t>
      </w:r>
      <w:r w:rsidRPr="00A950D3">
        <w:rPr>
          <w:rFonts w:ascii="Tw Cen MT" w:hAnsi="Tw Cen MT" w:cs="Calibri"/>
          <w:color w:val="auto"/>
          <w:sz w:val="22"/>
          <w:szCs w:val="20"/>
        </w:rPr>
        <w:t xml:space="preserve"> etc.)</w:t>
      </w:r>
      <w:r w:rsidR="00454BC8">
        <w:rPr>
          <w:rFonts w:ascii="Tw Cen MT" w:hAnsi="Tw Cen MT" w:cs="Calibri"/>
          <w:color w:val="auto"/>
          <w:sz w:val="22"/>
          <w:szCs w:val="20"/>
        </w:rPr>
        <w:t>. Ces dispositif</w:t>
      </w:r>
      <w:r w:rsidR="000B5E82">
        <w:rPr>
          <w:rFonts w:ascii="Tw Cen MT" w:hAnsi="Tw Cen MT" w:cs="Calibri"/>
          <w:color w:val="auto"/>
          <w:sz w:val="22"/>
          <w:szCs w:val="20"/>
        </w:rPr>
        <w:t>s</w:t>
      </w:r>
      <w:r w:rsidR="00454BC8">
        <w:rPr>
          <w:rFonts w:ascii="Tw Cen MT" w:hAnsi="Tw Cen MT" w:cs="Calibri"/>
          <w:color w:val="auto"/>
          <w:sz w:val="22"/>
          <w:szCs w:val="20"/>
        </w:rPr>
        <w:t xml:space="preserve"> de suivi et de veille devront permettre</w:t>
      </w:r>
      <w:r w:rsidR="00454BC8" w:rsidRPr="00D035D2">
        <w:rPr>
          <w:rFonts w:ascii="Tw Cen MT" w:hAnsi="Tw Cen MT" w:cs="Calibri"/>
          <w:color w:val="auto"/>
          <w:sz w:val="22"/>
          <w:szCs w:val="20"/>
        </w:rPr>
        <w:t xml:space="preserve"> d’anticiper les retards de programmation et de proposer des </w:t>
      </w:r>
      <w:r w:rsidR="00AF1D3E">
        <w:rPr>
          <w:rFonts w:ascii="Tw Cen MT" w:hAnsi="Tw Cen MT" w:cs="Calibri"/>
          <w:color w:val="auto"/>
          <w:sz w:val="22"/>
          <w:szCs w:val="20"/>
        </w:rPr>
        <w:t>solutions</w:t>
      </w:r>
      <w:r w:rsidR="00454BC8" w:rsidRPr="00D035D2">
        <w:rPr>
          <w:rFonts w:ascii="Tw Cen MT" w:hAnsi="Tw Cen MT" w:cs="Calibri"/>
          <w:color w:val="auto"/>
          <w:sz w:val="22"/>
          <w:szCs w:val="20"/>
        </w:rPr>
        <w:t xml:space="preserve"> alternatives</w:t>
      </w:r>
      <w:r w:rsidR="00454BC8" w:rsidRPr="008E3CED">
        <w:rPr>
          <w:rFonts w:ascii="Tw Cen MT" w:hAnsi="Tw Cen MT" w:cs="Calibri"/>
          <w:color w:val="auto"/>
          <w:sz w:val="22"/>
          <w:szCs w:val="20"/>
        </w:rPr>
        <w:t>.</w:t>
      </w:r>
    </w:p>
    <w:p w14:paraId="74F7E943" w14:textId="2AEE5B4C" w:rsidR="003451BE" w:rsidRPr="000F1A1C" w:rsidRDefault="00454BC8" w:rsidP="000F1A1C">
      <w:pPr>
        <w:pStyle w:val="Default"/>
        <w:numPr>
          <w:ilvl w:val="0"/>
          <w:numId w:val="46"/>
        </w:numPr>
        <w:ind w:left="709" w:hanging="283"/>
        <w:jc w:val="both"/>
        <w:rPr>
          <w:rFonts w:ascii="Tw Cen MT" w:hAnsi="Tw Cen MT" w:cs="Calibri"/>
          <w:color w:val="auto"/>
          <w:sz w:val="22"/>
          <w:szCs w:val="20"/>
        </w:rPr>
      </w:pPr>
      <w:r>
        <w:rPr>
          <w:rFonts w:ascii="Tw Cen MT" w:hAnsi="Tw Cen MT" w:cs="Calibri"/>
          <w:color w:val="auto"/>
          <w:sz w:val="22"/>
          <w:szCs w:val="20"/>
        </w:rPr>
        <w:t>G</w:t>
      </w:r>
      <w:r w:rsidRPr="008E3CED">
        <w:rPr>
          <w:rFonts w:ascii="Tw Cen MT" w:hAnsi="Tw Cen MT" w:cs="Calibri"/>
          <w:color w:val="auto"/>
          <w:sz w:val="22"/>
          <w:szCs w:val="20"/>
        </w:rPr>
        <w:t xml:space="preserve">arantir un suivi </w:t>
      </w:r>
      <w:r w:rsidRPr="00D035D2">
        <w:rPr>
          <w:rFonts w:ascii="Tw Cen MT" w:hAnsi="Tw Cen MT" w:cs="Calibri"/>
          <w:color w:val="auto"/>
          <w:sz w:val="22"/>
          <w:szCs w:val="20"/>
        </w:rPr>
        <w:t xml:space="preserve">rapproché de la bonne exécution des activités </w:t>
      </w:r>
      <w:r w:rsidR="003451BE" w:rsidRPr="000F1A1C">
        <w:rPr>
          <w:rFonts w:ascii="Tw Cen MT" w:hAnsi="Tw Cen MT" w:cs="Calibri"/>
          <w:color w:val="auto"/>
          <w:sz w:val="22"/>
          <w:szCs w:val="20"/>
        </w:rPr>
        <w:t xml:space="preserve">en </w:t>
      </w:r>
      <w:r w:rsidR="008555A2" w:rsidRPr="000F1A1C">
        <w:rPr>
          <w:rFonts w:ascii="Tw Cen MT" w:hAnsi="Tw Cen MT" w:cs="Calibri"/>
          <w:color w:val="auto"/>
          <w:sz w:val="22"/>
          <w:szCs w:val="20"/>
        </w:rPr>
        <w:t xml:space="preserve">organisant/participant à des réunions </w:t>
      </w:r>
      <w:r w:rsidR="003C49F7" w:rsidRPr="008E3CED">
        <w:rPr>
          <w:rFonts w:ascii="Tw Cen MT" w:hAnsi="Tw Cen MT" w:cs="Calibri"/>
          <w:color w:val="auto"/>
          <w:sz w:val="22"/>
          <w:szCs w:val="20"/>
        </w:rPr>
        <w:t>régulières de suivi de l’avancement technique et financier du projet</w:t>
      </w:r>
      <w:r w:rsidR="00353EAA" w:rsidRPr="008E3CED">
        <w:rPr>
          <w:rFonts w:ascii="Tw Cen MT" w:hAnsi="Tw Cen MT" w:cs="Calibri"/>
          <w:color w:val="auto"/>
          <w:sz w:val="22"/>
          <w:szCs w:val="20"/>
        </w:rPr>
        <w:t xml:space="preserve"> (comité de suivi)</w:t>
      </w:r>
      <w:r w:rsidR="003C49F7" w:rsidRPr="008E3CED">
        <w:rPr>
          <w:rFonts w:ascii="Tw Cen MT" w:hAnsi="Tw Cen MT" w:cs="Calibri"/>
          <w:color w:val="auto"/>
          <w:sz w:val="22"/>
          <w:szCs w:val="20"/>
        </w:rPr>
        <w:t xml:space="preserve">, assorties de </w:t>
      </w:r>
      <w:r w:rsidR="008555A2" w:rsidRPr="000F1A1C">
        <w:rPr>
          <w:rFonts w:ascii="Tw Cen MT" w:hAnsi="Tw Cen MT" w:cs="Calibri"/>
          <w:color w:val="auto"/>
          <w:sz w:val="22"/>
          <w:szCs w:val="20"/>
        </w:rPr>
        <w:t xml:space="preserve">comptes rendus </w:t>
      </w:r>
      <w:r w:rsidR="007A53C8" w:rsidRPr="000F1A1C">
        <w:rPr>
          <w:rFonts w:ascii="Tw Cen MT" w:hAnsi="Tw Cen MT" w:cs="Calibri"/>
          <w:color w:val="auto"/>
          <w:sz w:val="22"/>
          <w:szCs w:val="20"/>
        </w:rPr>
        <w:t>à destination du siège et de l’Agence</w:t>
      </w:r>
      <w:r w:rsidR="002C350D">
        <w:rPr>
          <w:rFonts w:ascii="Tw Cen MT" w:hAnsi="Tw Cen MT" w:cs="Calibri"/>
          <w:color w:val="auto"/>
          <w:sz w:val="22"/>
          <w:szCs w:val="20"/>
        </w:rPr>
        <w:t>.</w:t>
      </w:r>
    </w:p>
    <w:p w14:paraId="70668753" w14:textId="10F70AE3" w:rsidR="000A6C6D" w:rsidRPr="000F1A1C" w:rsidRDefault="00454BC8" w:rsidP="000F1A1C">
      <w:pPr>
        <w:pStyle w:val="Default"/>
        <w:numPr>
          <w:ilvl w:val="0"/>
          <w:numId w:val="46"/>
        </w:numPr>
        <w:ind w:left="709" w:hanging="283"/>
        <w:jc w:val="both"/>
        <w:rPr>
          <w:rFonts w:ascii="Tw Cen MT" w:hAnsi="Tw Cen MT" w:cs="Calibri"/>
          <w:color w:val="auto"/>
          <w:sz w:val="22"/>
          <w:szCs w:val="20"/>
        </w:rPr>
      </w:pPr>
      <w:r>
        <w:rPr>
          <w:rFonts w:ascii="Tw Cen MT" w:hAnsi="Tw Cen MT" w:cs="Calibri"/>
          <w:color w:val="auto"/>
          <w:sz w:val="22"/>
          <w:szCs w:val="20"/>
        </w:rPr>
        <w:t xml:space="preserve">Facilitation de </w:t>
      </w:r>
      <w:r w:rsidRPr="008E3CED">
        <w:rPr>
          <w:rFonts w:ascii="Tw Cen MT" w:hAnsi="Tw Cen MT" w:cs="Calibri"/>
          <w:color w:val="auto"/>
          <w:sz w:val="22"/>
          <w:szCs w:val="20"/>
        </w:rPr>
        <w:t xml:space="preserve">la bonne coordination </w:t>
      </w:r>
      <w:r w:rsidRPr="00D035D2">
        <w:rPr>
          <w:rFonts w:ascii="Tw Cen MT" w:hAnsi="Tw Cen MT" w:cs="Calibri"/>
          <w:color w:val="auto"/>
          <w:sz w:val="22"/>
          <w:szCs w:val="20"/>
        </w:rPr>
        <w:t>entre acteurs</w:t>
      </w:r>
      <w:r w:rsidRPr="008E3CED">
        <w:rPr>
          <w:rFonts w:ascii="Tw Cen MT" w:hAnsi="Tw Cen MT" w:cs="Calibri"/>
          <w:color w:val="auto"/>
          <w:sz w:val="22"/>
          <w:szCs w:val="20"/>
        </w:rPr>
        <w:t xml:space="preserve"> </w:t>
      </w:r>
      <w:r>
        <w:rPr>
          <w:rFonts w:ascii="Tw Cen MT" w:hAnsi="Tw Cen MT" w:cs="Calibri"/>
          <w:color w:val="auto"/>
          <w:sz w:val="22"/>
          <w:szCs w:val="20"/>
        </w:rPr>
        <w:t xml:space="preserve">du projet. Ceci impliquera de nouer </w:t>
      </w:r>
      <w:r w:rsidR="003C49F7" w:rsidRPr="008E3CED">
        <w:rPr>
          <w:rFonts w:ascii="Tw Cen MT" w:hAnsi="Tw Cen MT" w:cs="Calibri"/>
          <w:color w:val="auto"/>
          <w:sz w:val="22"/>
          <w:szCs w:val="20"/>
        </w:rPr>
        <w:t xml:space="preserve">un dialogue actif </w:t>
      </w:r>
      <w:r w:rsidR="003C49F7" w:rsidRPr="00353EAA">
        <w:rPr>
          <w:rFonts w:ascii="Tw Cen MT" w:hAnsi="Tw Cen MT" w:cs="Segoe UI"/>
          <w:sz w:val="22"/>
        </w:rPr>
        <w:t xml:space="preserve">avec </w:t>
      </w:r>
      <w:r w:rsidR="003C49F7" w:rsidRPr="00CC247C">
        <w:rPr>
          <w:rFonts w:ascii="Tw Cen MT" w:hAnsi="Tw Cen MT" w:cs="Segoe UI"/>
          <w:sz w:val="22"/>
        </w:rPr>
        <w:t xml:space="preserve">- et entre - la </w:t>
      </w:r>
      <w:r w:rsidR="003C49F7" w:rsidRPr="00A950D3">
        <w:rPr>
          <w:rFonts w:ascii="Tw Cen MT" w:hAnsi="Tw Cen MT" w:cs="Segoe UI"/>
          <w:sz w:val="22"/>
        </w:rPr>
        <w:t>maîtrise d’ouvrage (SOMELEC), les administrations (</w:t>
      </w:r>
      <w:r w:rsidR="000B5E82" w:rsidRPr="000F1A1C">
        <w:rPr>
          <w:rFonts w:ascii="Tw Cen MT" w:hAnsi="Tw Cen MT" w:cs="Segoe UI"/>
          <w:sz w:val="22"/>
        </w:rPr>
        <w:t>M</w:t>
      </w:r>
      <w:r w:rsidR="003C49F7" w:rsidRPr="000F1A1C">
        <w:rPr>
          <w:rFonts w:ascii="Tw Cen MT" w:hAnsi="Tw Cen MT" w:cs="Segoe UI"/>
          <w:sz w:val="22"/>
        </w:rPr>
        <w:t xml:space="preserve">inistère de </w:t>
      </w:r>
      <w:r w:rsidR="000B5E82">
        <w:rPr>
          <w:rFonts w:ascii="Tw Cen MT" w:hAnsi="Tw Cen MT" w:cs="Segoe UI"/>
          <w:sz w:val="22"/>
        </w:rPr>
        <w:t>l’</w:t>
      </w:r>
      <w:r w:rsidR="003C49F7" w:rsidRPr="00CC247C">
        <w:rPr>
          <w:rFonts w:ascii="Tw Cen MT" w:hAnsi="Tw Cen MT" w:cs="Segoe UI"/>
          <w:sz w:val="22"/>
        </w:rPr>
        <w:t xml:space="preserve">Energie, </w:t>
      </w:r>
      <w:r w:rsidR="003C49F7" w:rsidRPr="00A950D3">
        <w:rPr>
          <w:rFonts w:ascii="Tw Cen MT" w:hAnsi="Tw Cen MT" w:cs="Segoe UI"/>
          <w:sz w:val="22"/>
        </w:rPr>
        <w:t>Ministère de l’</w:t>
      </w:r>
      <w:r w:rsidR="000B5E82" w:rsidRPr="00A950D3">
        <w:rPr>
          <w:rFonts w:ascii="Tw Cen MT" w:hAnsi="Tw Cen MT" w:cs="Segoe UI"/>
          <w:sz w:val="22"/>
        </w:rPr>
        <w:t>E</w:t>
      </w:r>
      <w:r w:rsidR="003C49F7" w:rsidRPr="00A950D3">
        <w:rPr>
          <w:rFonts w:ascii="Tw Cen MT" w:hAnsi="Tw Cen MT" w:cs="Segoe UI"/>
          <w:sz w:val="22"/>
        </w:rPr>
        <w:t>conomie et D</w:t>
      </w:r>
      <w:r w:rsidR="003C49F7" w:rsidRPr="000F1A1C">
        <w:rPr>
          <w:rFonts w:ascii="Tw Cen MT" w:hAnsi="Tw Cen MT" w:cs="Segoe UI"/>
          <w:sz w:val="22"/>
        </w:rPr>
        <w:t xml:space="preserve">G-PPP, </w:t>
      </w:r>
      <w:r w:rsidR="000B5E82">
        <w:rPr>
          <w:rFonts w:ascii="Tw Cen MT" w:hAnsi="Tw Cen MT" w:cs="Segoe UI"/>
          <w:sz w:val="22"/>
        </w:rPr>
        <w:t xml:space="preserve">régulateur </w:t>
      </w:r>
      <w:r w:rsidR="003C49F7" w:rsidRPr="00A950D3">
        <w:rPr>
          <w:rFonts w:ascii="Tw Cen MT" w:hAnsi="Tw Cen MT" w:cs="Segoe UI"/>
          <w:sz w:val="22"/>
        </w:rPr>
        <w:t xml:space="preserve">ARE), </w:t>
      </w:r>
      <w:r w:rsidR="000B5E82">
        <w:rPr>
          <w:rFonts w:ascii="Tw Cen MT" w:hAnsi="Tw Cen MT" w:cs="Segoe UI"/>
          <w:sz w:val="22"/>
        </w:rPr>
        <w:t xml:space="preserve">les entreprises mobilisées (AMO, </w:t>
      </w:r>
      <w:r w:rsidR="003C49F7" w:rsidRPr="00A950D3">
        <w:rPr>
          <w:rFonts w:ascii="Tw Cen MT" w:hAnsi="Tw Cen MT" w:cs="Segoe UI"/>
          <w:sz w:val="22"/>
        </w:rPr>
        <w:t>assistan</w:t>
      </w:r>
      <w:r w:rsidR="000B5E82">
        <w:rPr>
          <w:rFonts w:ascii="Tw Cen MT" w:hAnsi="Tw Cen MT" w:cs="Segoe UI"/>
          <w:sz w:val="22"/>
        </w:rPr>
        <w:t>ces</w:t>
      </w:r>
      <w:r w:rsidR="003C49F7" w:rsidRPr="00A950D3">
        <w:rPr>
          <w:rFonts w:ascii="Tw Cen MT" w:hAnsi="Tw Cen MT" w:cs="Segoe UI"/>
          <w:sz w:val="22"/>
        </w:rPr>
        <w:t xml:space="preserve"> technique</w:t>
      </w:r>
      <w:r w:rsidR="000B5E82">
        <w:rPr>
          <w:rFonts w:ascii="Tw Cen MT" w:hAnsi="Tw Cen MT" w:cs="Segoe UI"/>
          <w:sz w:val="22"/>
        </w:rPr>
        <w:t>s</w:t>
      </w:r>
      <w:r w:rsidR="003C49F7" w:rsidRPr="00A950D3">
        <w:rPr>
          <w:rFonts w:ascii="Tw Cen MT" w:hAnsi="Tw Cen MT" w:cs="Segoe UI"/>
          <w:sz w:val="22"/>
        </w:rPr>
        <w:t xml:space="preserve">, </w:t>
      </w:r>
      <w:r w:rsidR="000B5E82">
        <w:rPr>
          <w:rFonts w:ascii="Tw Cen MT" w:hAnsi="Tw Cen MT" w:cs="Segoe UI"/>
          <w:sz w:val="22"/>
        </w:rPr>
        <w:t>concessionnaire)</w:t>
      </w:r>
      <w:r w:rsidR="003C49F7" w:rsidRPr="00A950D3">
        <w:rPr>
          <w:rFonts w:ascii="Tw Cen MT" w:hAnsi="Tw Cen MT" w:cs="Segoe UI"/>
          <w:sz w:val="22"/>
        </w:rPr>
        <w:t xml:space="preserve">, </w:t>
      </w:r>
      <w:r w:rsidR="000B5E82">
        <w:rPr>
          <w:rFonts w:ascii="Tw Cen MT" w:hAnsi="Tw Cen MT" w:cs="Segoe UI"/>
          <w:sz w:val="22"/>
        </w:rPr>
        <w:t xml:space="preserve">les </w:t>
      </w:r>
      <w:r w:rsidR="003C49F7" w:rsidRPr="00A950D3">
        <w:rPr>
          <w:rFonts w:ascii="Tw Cen MT" w:hAnsi="Tw Cen MT" w:cs="Segoe UI"/>
          <w:sz w:val="22"/>
        </w:rPr>
        <w:t>autres partenaires financiers (Union européenne, Banque mondiale, BAD) etc.</w:t>
      </w:r>
    </w:p>
    <w:p w14:paraId="28626DB8" w14:textId="77777777" w:rsidR="00454BC8" w:rsidRDefault="00454BC8" w:rsidP="000F1A1C">
      <w:pPr>
        <w:pStyle w:val="Default"/>
        <w:rPr>
          <w:rFonts w:ascii="Tw Cen MT" w:hAnsi="Tw Cen MT" w:cs="Calibri"/>
          <w:color w:val="auto"/>
          <w:sz w:val="22"/>
          <w:szCs w:val="20"/>
        </w:rPr>
      </w:pPr>
    </w:p>
    <w:p w14:paraId="13E642A7" w14:textId="61080628" w:rsidR="007A53C8" w:rsidRPr="000F1A1C" w:rsidRDefault="008624B3" w:rsidP="000F1A1C">
      <w:pPr>
        <w:pStyle w:val="Default"/>
        <w:rPr>
          <w:rFonts w:ascii="Tw Cen MT" w:hAnsi="Tw Cen MT" w:cs="Calibri"/>
          <w:b/>
          <w:sz w:val="22"/>
          <w:szCs w:val="20"/>
        </w:rPr>
      </w:pPr>
      <w:r w:rsidRPr="000F1A1C">
        <w:rPr>
          <w:rFonts w:ascii="Tw Cen MT" w:hAnsi="Tw Cen MT" w:cs="Calibri"/>
          <w:b/>
          <w:sz w:val="22"/>
          <w:szCs w:val="20"/>
        </w:rPr>
        <w:t xml:space="preserve">Concernant </w:t>
      </w:r>
      <w:r w:rsidR="00C35833" w:rsidRPr="000F1A1C">
        <w:rPr>
          <w:rFonts w:ascii="Tw Cen MT" w:hAnsi="Tw Cen MT" w:cs="Calibri"/>
          <w:b/>
          <w:sz w:val="22"/>
          <w:szCs w:val="20"/>
        </w:rPr>
        <w:t xml:space="preserve">la bonne mise en œuvre </w:t>
      </w:r>
      <w:r w:rsidR="007948DE" w:rsidRPr="000F1A1C">
        <w:rPr>
          <w:rFonts w:ascii="Tw Cen MT" w:hAnsi="Tw Cen MT" w:cs="Calibri"/>
          <w:b/>
          <w:sz w:val="22"/>
          <w:szCs w:val="20"/>
        </w:rPr>
        <w:t xml:space="preserve">financière </w:t>
      </w:r>
      <w:r w:rsidR="00C35833" w:rsidRPr="000F1A1C">
        <w:rPr>
          <w:rFonts w:ascii="Tw Cen MT" w:hAnsi="Tw Cen MT" w:cs="Calibri"/>
          <w:b/>
          <w:sz w:val="22"/>
          <w:szCs w:val="20"/>
        </w:rPr>
        <w:t xml:space="preserve">du projet </w:t>
      </w:r>
    </w:p>
    <w:p w14:paraId="6C853105" w14:textId="3D0EF392" w:rsidR="00B505B8" w:rsidRPr="000F1A1C" w:rsidRDefault="0094632E" w:rsidP="00023407">
      <w:pPr>
        <w:pStyle w:val="Default"/>
        <w:numPr>
          <w:ilvl w:val="0"/>
          <w:numId w:val="69"/>
        </w:numPr>
        <w:ind w:left="709" w:hanging="283"/>
        <w:jc w:val="both"/>
        <w:rPr>
          <w:rFonts w:ascii="Tw Cen MT" w:hAnsi="Tw Cen MT" w:cs="Calibri"/>
          <w:color w:val="auto"/>
          <w:sz w:val="22"/>
          <w:szCs w:val="20"/>
        </w:rPr>
      </w:pPr>
      <w:r>
        <w:rPr>
          <w:rFonts w:ascii="Tw Cen MT" w:hAnsi="Tw Cen MT" w:cs="Calibri"/>
          <w:color w:val="auto"/>
          <w:sz w:val="22"/>
          <w:szCs w:val="20"/>
        </w:rPr>
        <w:t xml:space="preserve">Elaborer les outils nécessaires </w:t>
      </w:r>
      <w:r w:rsidR="00962568">
        <w:rPr>
          <w:rFonts w:ascii="Tw Cen MT" w:hAnsi="Tw Cen MT" w:cs="Calibri"/>
          <w:color w:val="auto"/>
          <w:sz w:val="22"/>
          <w:szCs w:val="20"/>
        </w:rPr>
        <w:t xml:space="preserve">et appuyer le suivi de la </w:t>
      </w:r>
      <w:r w:rsidR="00D9607F" w:rsidRPr="000F1A1C">
        <w:rPr>
          <w:rFonts w:ascii="Tw Cen MT" w:hAnsi="Tw Cen MT" w:cs="Calibri"/>
          <w:color w:val="auto"/>
          <w:sz w:val="22"/>
          <w:szCs w:val="20"/>
        </w:rPr>
        <w:t>programmation annuelle budgé</w:t>
      </w:r>
      <w:r w:rsidR="00B505B8" w:rsidRPr="000F1A1C">
        <w:rPr>
          <w:rFonts w:ascii="Tw Cen MT" w:hAnsi="Tw Cen MT" w:cs="Calibri"/>
          <w:color w:val="auto"/>
          <w:sz w:val="22"/>
          <w:szCs w:val="20"/>
        </w:rPr>
        <w:t xml:space="preserve">taire </w:t>
      </w:r>
      <w:r w:rsidR="000232E9" w:rsidRPr="000F1A1C">
        <w:rPr>
          <w:rFonts w:ascii="Tw Cen MT" w:hAnsi="Tw Cen MT" w:cs="Calibri"/>
          <w:color w:val="auto"/>
          <w:sz w:val="22"/>
          <w:szCs w:val="20"/>
        </w:rPr>
        <w:t>avec le budget de l’action validé dans les conventions de délégation signées avec l’UE et dans les conventions de financement avec les partenaires Mauritaniens</w:t>
      </w:r>
      <w:r w:rsidR="00023407">
        <w:rPr>
          <w:rFonts w:ascii="Tw Cen MT" w:hAnsi="Tw Cen MT" w:cs="Calibri"/>
          <w:color w:val="auto"/>
          <w:sz w:val="22"/>
          <w:szCs w:val="20"/>
        </w:rPr>
        <w:t xml:space="preserve">, et veiller </w:t>
      </w:r>
      <w:r w:rsidR="00B505B8" w:rsidRPr="000F1A1C">
        <w:rPr>
          <w:rFonts w:ascii="Tw Cen MT" w:hAnsi="Tw Cen MT" w:cs="Calibri"/>
          <w:color w:val="auto"/>
          <w:sz w:val="22"/>
          <w:szCs w:val="20"/>
        </w:rPr>
        <w:t xml:space="preserve">à l’adéquation du format de présentation du budget </w:t>
      </w:r>
      <w:r w:rsidR="000232E9" w:rsidRPr="000F1A1C">
        <w:rPr>
          <w:rFonts w:ascii="Tw Cen MT" w:hAnsi="Tw Cen MT" w:cs="Calibri"/>
          <w:color w:val="auto"/>
          <w:sz w:val="22"/>
          <w:szCs w:val="20"/>
        </w:rPr>
        <w:t xml:space="preserve">du Projet </w:t>
      </w:r>
      <w:r w:rsidR="00B505B8" w:rsidRPr="000F1A1C">
        <w:rPr>
          <w:rFonts w:ascii="Tw Cen MT" w:hAnsi="Tw Cen MT" w:cs="Calibri"/>
          <w:color w:val="auto"/>
          <w:sz w:val="22"/>
          <w:szCs w:val="20"/>
        </w:rPr>
        <w:t xml:space="preserve">conformément aux </w:t>
      </w:r>
      <w:r w:rsidR="003451BE" w:rsidRPr="000F1A1C">
        <w:rPr>
          <w:rFonts w:ascii="Tw Cen MT" w:hAnsi="Tw Cen MT" w:cs="Calibri"/>
          <w:color w:val="auto"/>
          <w:sz w:val="22"/>
          <w:szCs w:val="20"/>
        </w:rPr>
        <w:t>exigences de l’UE</w:t>
      </w:r>
      <w:r w:rsidR="002C350D">
        <w:rPr>
          <w:rFonts w:ascii="Tw Cen MT" w:hAnsi="Tw Cen MT" w:cs="Calibri"/>
          <w:color w:val="auto"/>
          <w:sz w:val="22"/>
          <w:szCs w:val="20"/>
        </w:rPr>
        <w:t>.</w:t>
      </w:r>
    </w:p>
    <w:p w14:paraId="4CB66E5F" w14:textId="01A2FB83" w:rsidR="00B505B8" w:rsidRPr="000F1A1C" w:rsidRDefault="0094632E" w:rsidP="000F1A1C">
      <w:pPr>
        <w:pStyle w:val="Default"/>
        <w:numPr>
          <w:ilvl w:val="0"/>
          <w:numId w:val="69"/>
        </w:numPr>
        <w:ind w:left="709" w:hanging="283"/>
        <w:jc w:val="both"/>
        <w:rPr>
          <w:rFonts w:ascii="Tw Cen MT" w:hAnsi="Tw Cen MT" w:cs="Calibri"/>
          <w:color w:val="auto"/>
          <w:sz w:val="22"/>
          <w:szCs w:val="20"/>
        </w:rPr>
      </w:pPr>
      <w:r>
        <w:rPr>
          <w:rFonts w:ascii="Tw Cen MT" w:hAnsi="Tw Cen MT" w:cs="Calibri"/>
          <w:color w:val="auto"/>
          <w:sz w:val="22"/>
          <w:szCs w:val="20"/>
        </w:rPr>
        <w:t>Elaborer les outils nécessaires afin d’a</w:t>
      </w:r>
      <w:r w:rsidR="00B505B8" w:rsidRPr="000F1A1C">
        <w:rPr>
          <w:rFonts w:ascii="Tw Cen MT" w:hAnsi="Tw Cen MT" w:cs="Calibri"/>
          <w:color w:val="auto"/>
          <w:sz w:val="22"/>
          <w:szCs w:val="20"/>
        </w:rPr>
        <w:t xml:space="preserve">ssurer </w:t>
      </w:r>
      <w:r w:rsidR="00831190" w:rsidRPr="000F1A1C">
        <w:rPr>
          <w:rFonts w:ascii="Tw Cen MT" w:hAnsi="Tw Cen MT" w:cs="Calibri"/>
          <w:color w:val="auto"/>
          <w:sz w:val="22"/>
          <w:szCs w:val="20"/>
        </w:rPr>
        <w:t xml:space="preserve">le suivi de </w:t>
      </w:r>
      <w:r w:rsidR="00B505B8" w:rsidRPr="000F1A1C">
        <w:rPr>
          <w:rFonts w:ascii="Tw Cen MT" w:hAnsi="Tw Cen MT" w:cs="Calibri"/>
          <w:color w:val="auto"/>
          <w:sz w:val="22"/>
          <w:szCs w:val="20"/>
        </w:rPr>
        <w:t xml:space="preserve">la gestion comptable et financière du </w:t>
      </w:r>
      <w:r w:rsidR="000232E9" w:rsidRPr="000F1A1C">
        <w:rPr>
          <w:rFonts w:ascii="Tw Cen MT" w:hAnsi="Tw Cen MT" w:cs="Calibri"/>
          <w:color w:val="auto"/>
          <w:sz w:val="22"/>
          <w:szCs w:val="20"/>
        </w:rPr>
        <w:t>Projet</w:t>
      </w:r>
      <w:r w:rsidR="00813587" w:rsidRPr="000F1A1C">
        <w:rPr>
          <w:rFonts w:ascii="Tw Cen MT" w:hAnsi="Tw Cen MT" w:cs="Calibri"/>
          <w:color w:val="auto"/>
          <w:sz w:val="22"/>
          <w:szCs w:val="20"/>
        </w:rPr>
        <w:t xml:space="preserve"> en veillant, avant toute autorisation de versement, à procéder à une analyse de l’éligibilité de la dépense, de la fiabilité des états financiers, de la conformité de la dépense avec</w:t>
      </w:r>
      <w:r w:rsidR="00D3185A" w:rsidRPr="000F1A1C">
        <w:rPr>
          <w:rFonts w:ascii="Tw Cen MT" w:hAnsi="Tw Cen MT" w:cs="Calibri"/>
          <w:color w:val="auto"/>
          <w:sz w:val="22"/>
          <w:szCs w:val="20"/>
        </w:rPr>
        <w:t xml:space="preserve"> les outils de pilotage validés</w:t>
      </w:r>
      <w:r w:rsidR="002C350D">
        <w:rPr>
          <w:rFonts w:ascii="Tw Cen MT" w:hAnsi="Tw Cen MT" w:cs="Calibri"/>
          <w:color w:val="auto"/>
          <w:sz w:val="22"/>
          <w:szCs w:val="20"/>
        </w:rPr>
        <w:t>.</w:t>
      </w:r>
    </w:p>
    <w:p w14:paraId="0DB51F89" w14:textId="5CB50087" w:rsidR="00D3185A" w:rsidRPr="000F1A1C" w:rsidRDefault="00385272" w:rsidP="000F1A1C">
      <w:pPr>
        <w:pStyle w:val="Default"/>
        <w:numPr>
          <w:ilvl w:val="0"/>
          <w:numId w:val="69"/>
        </w:numPr>
        <w:ind w:left="709" w:hanging="283"/>
        <w:jc w:val="both"/>
        <w:rPr>
          <w:rFonts w:ascii="Tw Cen MT" w:hAnsi="Tw Cen MT" w:cs="Calibri"/>
          <w:sz w:val="22"/>
          <w:szCs w:val="20"/>
        </w:rPr>
      </w:pPr>
      <w:r w:rsidRPr="000F1A1C">
        <w:rPr>
          <w:rFonts w:ascii="Tw Cen MT" w:hAnsi="Tw Cen MT" w:cs="Calibri"/>
          <w:sz w:val="22"/>
          <w:szCs w:val="20"/>
        </w:rPr>
        <w:t>Assister le/la responsable de pôle dans le processus de décaissements des projets et du suivi des march</w:t>
      </w:r>
      <w:r w:rsidR="005F2C9D" w:rsidRPr="00CC247C">
        <w:rPr>
          <w:rFonts w:ascii="Tw Cen MT" w:hAnsi="Tw Cen MT" w:cs="Calibri"/>
          <w:sz w:val="22"/>
          <w:szCs w:val="20"/>
        </w:rPr>
        <w:t>és en liaison notamment avec l’a</w:t>
      </w:r>
      <w:r w:rsidRPr="000F1A1C">
        <w:rPr>
          <w:rFonts w:ascii="Tw Cen MT" w:hAnsi="Tw Cen MT" w:cs="Calibri"/>
          <w:sz w:val="22"/>
          <w:szCs w:val="20"/>
        </w:rPr>
        <w:t>gent versement de l</w:t>
      </w:r>
      <w:r w:rsidR="0094632E">
        <w:rPr>
          <w:rFonts w:ascii="Tw Cen MT" w:hAnsi="Tw Cen MT" w:cs="Calibri"/>
          <w:sz w:val="22"/>
          <w:szCs w:val="20"/>
        </w:rPr>
        <w:t>a direction régional</w:t>
      </w:r>
      <w:r w:rsidR="00385F0E">
        <w:rPr>
          <w:rFonts w:ascii="Tw Cen MT" w:hAnsi="Tw Cen MT" w:cs="Calibri"/>
          <w:sz w:val="22"/>
          <w:szCs w:val="20"/>
        </w:rPr>
        <w:t>e</w:t>
      </w:r>
      <w:r w:rsidR="0094632E">
        <w:rPr>
          <w:rFonts w:ascii="Tw Cen MT" w:hAnsi="Tw Cen MT" w:cs="Calibri"/>
          <w:sz w:val="22"/>
          <w:szCs w:val="20"/>
        </w:rPr>
        <w:t xml:space="preserve"> Grand Sahel (DRGS)</w:t>
      </w:r>
      <w:r w:rsidRPr="000F1A1C">
        <w:rPr>
          <w:rFonts w:ascii="Tw Cen MT" w:hAnsi="Tw Cen MT" w:cs="Calibri"/>
          <w:sz w:val="22"/>
          <w:szCs w:val="20"/>
        </w:rPr>
        <w:t xml:space="preserve">. Ceci impliquera </w:t>
      </w:r>
      <w:r w:rsidR="00831190" w:rsidRPr="000F1A1C">
        <w:rPr>
          <w:rFonts w:ascii="Tw Cen MT" w:hAnsi="Tw Cen MT" w:cs="Calibri"/>
          <w:color w:val="auto"/>
          <w:sz w:val="22"/>
          <w:szCs w:val="20"/>
        </w:rPr>
        <w:t>la préparation d</w:t>
      </w:r>
      <w:r w:rsidR="00D3185A" w:rsidRPr="000F1A1C">
        <w:rPr>
          <w:rFonts w:ascii="Tw Cen MT" w:hAnsi="Tw Cen MT" w:cs="Calibri"/>
          <w:color w:val="auto"/>
          <w:sz w:val="22"/>
          <w:szCs w:val="20"/>
        </w:rPr>
        <w:t xml:space="preserve">es ordres de versement </w:t>
      </w:r>
      <w:r w:rsidRPr="00CC247C">
        <w:rPr>
          <w:rFonts w:ascii="Tw Cen MT" w:hAnsi="Tw Cen MT" w:cs="Calibri"/>
          <w:color w:val="auto"/>
          <w:sz w:val="22"/>
          <w:szCs w:val="20"/>
        </w:rPr>
        <w:t xml:space="preserve">(interne AFD) </w:t>
      </w:r>
      <w:r w:rsidR="00D3185A" w:rsidRPr="000F1A1C">
        <w:rPr>
          <w:rFonts w:ascii="Tw Cen MT" w:hAnsi="Tw Cen MT" w:cs="Calibri"/>
          <w:color w:val="auto"/>
          <w:sz w:val="22"/>
          <w:szCs w:val="20"/>
        </w:rPr>
        <w:t>après un contrôle qualité sus indiqué et dans le respect des procédures/circuits internes à l’AFD</w:t>
      </w:r>
      <w:r w:rsidR="002C350D">
        <w:rPr>
          <w:rFonts w:ascii="Tw Cen MT" w:hAnsi="Tw Cen MT" w:cs="Calibri"/>
          <w:color w:val="auto"/>
          <w:sz w:val="22"/>
          <w:szCs w:val="20"/>
        </w:rPr>
        <w:t>.</w:t>
      </w:r>
    </w:p>
    <w:p w14:paraId="78878942" w14:textId="4CD0F45C" w:rsidR="00295684" w:rsidRPr="000F1A1C" w:rsidRDefault="00295684" w:rsidP="000F1A1C">
      <w:pPr>
        <w:pStyle w:val="Default"/>
        <w:numPr>
          <w:ilvl w:val="0"/>
          <w:numId w:val="69"/>
        </w:numPr>
        <w:ind w:left="709" w:hanging="283"/>
        <w:jc w:val="both"/>
        <w:rPr>
          <w:rFonts w:ascii="Tw Cen MT" w:hAnsi="Tw Cen MT" w:cs="Calibri"/>
          <w:color w:val="auto"/>
          <w:sz w:val="22"/>
          <w:szCs w:val="20"/>
        </w:rPr>
      </w:pPr>
      <w:r w:rsidRPr="000F1A1C">
        <w:rPr>
          <w:rFonts w:ascii="Tw Cen MT" w:hAnsi="Tw Cen MT" w:cs="Calibri"/>
          <w:color w:val="auto"/>
          <w:sz w:val="22"/>
          <w:szCs w:val="20"/>
        </w:rPr>
        <w:t xml:space="preserve">Veiller à la bonne utilisation des fonds du </w:t>
      </w:r>
      <w:r w:rsidR="00D3185A" w:rsidRPr="000F1A1C">
        <w:rPr>
          <w:rFonts w:ascii="Tw Cen MT" w:hAnsi="Tw Cen MT" w:cs="Calibri"/>
          <w:color w:val="auto"/>
          <w:sz w:val="22"/>
          <w:szCs w:val="20"/>
        </w:rPr>
        <w:t>Projet</w:t>
      </w:r>
      <w:r w:rsidRPr="000F1A1C">
        <w:rPr>
          <w:rFonts w:ascii="Tw Cen MT" w:hAnsi="Tw Cen MT" w:cs="Calibri"/>
          <w:color w:val="auto"/>
          <w:sz w:val="22"/>
          <w:szCs w:val="20"/>
        </w:rPr>
        <w:t xml:space="preserve"> et </w:t>
      </w:r>
      <w:r w:rsidR="00385F0E">
        <w:rPr>
          <w:rFonts w:ascii="Tw Cen MT" w:hAnsi="Tw Cen MT" w:cs="Calibri"/>
          <w:color w:val="auto"/>
          <w:sz w:val="22"/>
          <w:szCs w:val="20"/>
        </w:rPr>
        <w:t xml:space="preserve">au </w:t>
      </w:r>
      <w:r w:rsidRPr="000F1A1C">
        <w:rPr>
          <w:rFonts w:ascii="Tw Cen MT" w:hAnsi="Tw Cen MT" w:cs="Calibri"/>
          <w:color w:val="auto"/>
          <w:sz w:val="22"/>
          <w:szCs w:val="20"/>
        </w:rPr>
        <w:t>suivi du respect des critères d’éligibilité des dépenses</w:t>
      </w:r>
      <w:r w:rsidR="00D3185A" w:rsidRPr="000F1A1C">
        <w:rPr>
          <w:rFonts w:ascii="Tw Cen MT" w:hAnsi="Tw Cen MT" w:cs="Calibri"/>
          <w:color w:val="auto"/>
          <w:sz w:val="22"/>
          <w:szCs w:val="20"/>
        </w:rPr>
        <w:t> </w:t>
      </w:r>
      <w:r w:rsidR="008C1836" w:rsidRPr="00CC247C">
        <w:rPr>
          <w:rFonts w:ascii="Tw Cen MT" w:hAnsi="Tw Cen MT" w:cs="Calibri"/>
          <w:color w:val="auto"/>
          <w:sz w:val="22"/>
          <w:szCs w:val="20"/>
        </w:rPr>
        <w:t>(suivi</w:t>
      </w:r>
      <w:r w:rsidR="008C1836" w:rsidRPr="008E3CED">
        <w:rPr>
          <w:rFonts w:ascii="Tw Cen MT" w:hAnsi="Tw Cen MT" w:cs="Calibri"/>
          <w:color w:val="auto"/>
          <w:sz w:val="22"/>
          <w:szCs w:val="20"/>
        </w:rPr>
        <w:t xml:space="preserve"> diligences, engagements particuliers etc.)</w:t>
      </w:r>
      <w:r w:rsidR="002C350D">
        <w:rPr>
          <w:rFonts w:ascii="Tw Cen MT" w:hAnsi="Tw Cen MT" w:cs="Calibri"/>
          <w:color w:val="auto"/>
          <w:sz w:val="22"/>
          <w:szCs w:val="20"/>
        </w:rPr>
        <w:t>.</w:t>
      </w:r>
    </w:p>
    <w:p w14:paraId="02A9958D" w14:textId="5EF22E0C" w:rsidR="00D3185A" w:rsidRPr="000F1A1C" w:rsidRDefault="00D3185A" w:rsidP="000F1A1C">
      <w:pPr>
        <w:pStyle w:val="Default"/>
        <w:numPr>
          <w:ilvl w:val="0"/>
          <w:numId w:val="69"/>
        </w:numPr>
        <w:ind w:left="709" w:hanging="283"/>
        <w:jc w:val="both"/>
        <w:rPr>
          <w:rFonts w:ascii="Tw Cen MT" w:hAnsi="Tw Cen MT" w:cs="Calibri"/>
          <w:color w:val="auto"/>
          <w:sz w:val="22"/>
          <w:szCs w:val="20"/>
        </w:rPr>
      </w:pPr>
      <w:r w:rsidRPr="000F1A1C">
        <w:rPr>
          <w:rFonts w:ascii="Tw Cen MT" w:hAnsi="Tw Cen MT" w:cs="Calibri"/>
          <w:color w:val="auto"/>
          <w:sz w:val="22"/>
          <w:szCs w:val="20"/>
        </w:rPr>
        <w:t>Mettre en place les outils permettant d’assurer un suivi rapproché des dépenses et des versements afin de consolider les rapports produits par les maîtrises d’ouvrage et devant faire l’objet d’un partage à l’UE</w:t>
      </w:r>
      <w:r w:rsidR="002C350D">
        <w:rPr>
          <w:rFonts w:ascii="Tw Cen MT" w:hAnsi="Tw Cen MT" w:cs="Calibri"/>
          <w:color w:val="auto"/>
          <w:sz w:val="22"/>
          <w:szCs w:val="20"/>
        </w:rPr>
        <w:t>.</w:t>
      </w:r>
    </w:p>
    <w:p w14:paraId="3EDAFD57" w14:textId="0BDD6B7D" w:rsidR="003451BE" w:rsidRPr="000F1A1C" w:rsidRDefault="003451BE" w:rsidP="000F1A1C">
      <w:pPr>
        <w:pStyle w:val="Default"/>
        <w:numPr>
          <w:ilvl w:val="0"/>
          <w:numId w:val="69"/>
        </w:numPr>
        <w:ind w:left="709" w:hanging="283"/>
        <w:jc w:val="both"/>
        <w:rPr>
          <w:rFonts w:ascii="Tw Cen MT" w:hAnsi="Tw Cen MT" w:cs="Calibri"/>
          <w:color w:val="auto"/>
          <w:sz w:val="22"/>
          <w:szCs w:val="20"/>
        </w:rPr>
      </w:pPr>
      <w:r w:rsidRPr="000F1A1C">
        <w:rPr>
          <w:rFonts w:ascii="Tw Cen MT" w:hAnsi="Tw Cen MT" w:cs="Calibri"/>
          <w:color w:val="auto"/>
          <w:sz w:val="22"/>
          <w:szCs w:val="20"/>
        </w:rPr>
        <w:t>Rassembler les informations sur les budgets des parties prenantes au projet permettant de préparer ou consolider les rapports à l’UE</w:t>
      </w:r>
      <w:r w:rsidR="002C350D">
        <w:rPr>
          <w:rFonts w:ascii="Tw Cen MT" w:hAnsi="Tw Cen MT" w:cs="Calibri"/>
          <w:color w:val="auto"/>
          <w:sz w:val="22"/>
          <w:szCs w:val="20"/>
        </w:rPr>
        <w:t>.</w:t>
      </w:r>
    </w:p>
    <w:p w14:paraId="7235D882" w14:textId="77777777" w:rsidR="00D3185A" w:rsidRPr="000F1A1C" w:rsidRDefault="00653E19" w:rsidP="000F1A1C">
      <w:pPr>
        <w:pStyle w:val="Default"/>
        <w:numPr>
          <w:ilvl w:val="0"/>
          <w:numId w:val="69"/>
        </w:numPr>
        <w:ind w:left="709" w:hanging="283"/>
        <w:jc w:val="both"/>
        <w:rPr>
          <w:rFonts w:ascii="Tw Cen MT" w:hAnsi="Tw Cen MT" w:cs="Calibri"/>
          <w:color w:val="auto"/>
          <w:sz w:val="22"/>
          <w:szCs w:val="20"/>
        </w:rPr>
      </w:pPr>
      <w:r w:rsidRPr="000F1A1C">
        <w:rPr>
          <w:rFonts w:ascii="Tw Cen MT" w:hAnsi="Tw Cen MT" w:cs="Calibri"/>
          <w:color w:val="auto"/>
          <w:sz w:val="22"/>
          <w:szCs w:val="20"/>
        </w:rPr>
        <w:t>Contribuer au</w:t>
      </w:r>
      <w:r w:rsidR="00D3185A" w:rsidRPr="000F1A1C">
        <w:rPr>
          <w:rFonts w:ascii="Tw Cen MT" w:hAnsi="Tw Cen MT" w:cs="Calibri"/>
          <w:color w:val="auto"/>
          <w:sz w:val="22"/>
          <w:szCs w:val="20"/>
        </w:rPr>
        <w:t xml:space="preserve"> contrôle ex-post des </w:t>
      </w:r>
      <w:r w:rsidR="00FE511B" w:rsidRPr="008E3CED">
        <w:rPr>
          <w:rFonts w:ascii="Tw Cen MT" w:hAnsi="Tw Cen MT" w:cs="Calibri"/>
          <w:color w:val="auto"/>
          <w:sz w:val="22"/>
          <w:szCs w:val="20"/>
        </w:rPr>
        <w:t xml:space="preserve">éventuels </w:t>
      </w:r>
      <w:r w:rsidR="00D3185A" w:rsidRPr="000F1A1C">
        <w:rPr>
          <w:rFonts w:ascii="Tw Cen MT" w:hAnsi="Tw Cen MT" w:cs="Calibri"/>
          <w:color w:val="auto"/>
          <w:sz w:val="22"/>
          <w:szCs w:val="20"/>
        </w:rPr>
        <w:t xml:space="preserve">audits annuels et </w:t>
      </w:r>
      <w:r w:rsidRPr="000F1A1C">
        <w:rPr>
          <w:rFonts w:ascii="Tw Cen MT" w:hAnsi="Tw Cen MT" w:cs="Calibri"/>
          <w:color w:val="auto"/>
          <w:sz w:val="22"/>
          <w:szCs w:val="20"/>
        </w:rPr>
        <w:t>à la préparation d</w:t>
      </w:r>
      <w:r w:rsidR="00D3185A" w:rsidRPr="000F1A1C">
        <w:rPr>
          <w:rFonts w:ascii="Tw Cen MT" w:hAnsi="Tw Cen MT" w:cs="Calibri"/>
          <w:color w:val="auto"/>
          <w:sz w:val="22"/>
          <w:szCs w:val="20"/>
        </w:rPr>
        <w:t>es audits éventuels de l’UE.</w:t>
      </w:r>
    </w:p>
    <w:p w14:paraId="16BFE545" w14:textId="77777777" w:rsidR="008A6B46" w:rsidRPr="000F1A1C" w:rsidRDefault="008A6B46" w:rsidP="000F1A1C">
      <w:pPr>
        <w:pStyle w:val="Default"/>
        <w:ind w:left="1440"/>
        <w:jc w:val="both"/>
        <w:rPr>
          <w:rFonts w:ascii="Tw Cen MT" w:hAnsi="Tw Cen MT" w:cs="Calibri"/>
          <w:sz w:val="22"/>
          <w:szCs w:val="20"/>
        </w:rPr>
      </w:pPr>
    </w:p>
    <w:p w14:paraId="445E76A6" w14:textId="38271522" w:rsidR="00DE2037" w:rsidRPr="000F1A1C" w:rsidRDefault="008624B3" w:rsidP="000F1A1C">
      <w:pPr>
        <w:pStyle w:val="Default"/>
        <w:jc w:val="both"/>
        <w:rPr>
          <w:rFonts w:ascii="Tw Cen MT" w:hAnsi="Tw Cen MT" w:cs="Calibri"/>
          <w:b/>
          <w:sz w:val="22"/>
          <w:szCs w:val="20"/>
        </w:rPr>
      </w:pPr>
      <w:r w:rsidRPr="000F1A1C">
        <w:rPr>
          <w:rFonts w:ascii="Tw Cen MT" w:hAnsi="Tw Cen MT" w:cs="Calibri"/>
          <w:b/>
          <w:sz w:val="22"/>
          <w:szCs w:val="20"/>
        </w:rPr>
        <w:t xml:space="preserve">Concernant </w:t>
      </w:r>
      <w:r w:rsidR="00C35833" w:rsidRPr="000F1A1C">
        <w:rPr>
          <w:rFonts w:ascii="Tw Cen MT" w:hAnsi="Tw Cen MT" w:cs="Calibri"/>
          <w:b/>
          <w:sz w:val="22"/>
          <w:szCs w:val="20"/>
        </w:rPr>
        <w:t>l</w:t>
      </w:r>
      <w:r w:rsidR="00992296" w:rsidRPr="000F1A1C">
        <w:rPr>
          <w:rFonts w:ascii="Tw Cen MT" w:hAnsi="Tw Cen MT" w:cs="Calibri"/>
          <w:b/>
          <w:sz w:val="22"/>
          <w:szCs w:val="20"/>
        </w:rPr>
        <w:t>’information et</w:t>
      </w:r>
      <w:r w:rsidRPr="000F1A1C">
        <w:rPr>
          <w:rFonts w:ascii="Tw Cen MT" w:hAnsi="Tw Cen MT" w:cs="Calibri"/>
          <w:b/>
          <w:sz w:val="22"/>
          <w:szCs w:val="20"/>
        </w:rPr>
        <w:t xml:space="preserve"> le reporting </w:t>
      </w:r>
      <w:r w:rsidR="00C35833" w:rsidRPr="000F1A1C">
        <w:rPr>
          <w:rFonts w:ascii="Tw Cen MT" w:hAnsi="Tw Cen MT" w:cs="Calibri"/>
          <w:b/>
          <w:sz w:val="22"/>
          <w:szCs w:val="20"/>
        </w:rPr>
        <w:t>des activités du projet</w:t>
      </w:r>
    </w:p>
    <w:p w14:paraId="2CFBD69C" w14:textId="77777777" w:rsidR="00992296" w:rsidRPr="005F20E1" w:rsidRDefault="00CC3352" w:rsidP="005F20E1">
      <w:pPr>
        <w:pStyle w:val="Default"/>
        <w:numPr>
          <w:ilvl w:val="0"/>
          <w:numId w:val="70"/>
        </w:numPr>
        <w:ind w:left="709" w:hanging="283"/>
        <w:jc w:val="both"/>
        <w:rPr>
          <w:rFonts w:ascii="Tw Cen MT" w:hAnsi="Tw Cen MT" w:cs="Segoe UI"/>
          <w:sz w:val="22"/>
        </w:rPr>
      </w:pPr>
      <w:r w:rsidRPr="005F20E1">
        <w:rPr>
          <w:rFonts w:ascii="Tw Cen MT" w:hAnsi="Tw Cen MT" w:cs="Segoe UI"/>
          <w:sz w:val="22"/>
        </w:rPr>
        <w:t>I</w:t>
      </w:r>
      <w:r w:rsidR="0016301B" w:rsidRPr="005F20E1">
        <w:rPr>
          <w:rFonts w:ascii="Tw Cen MT" w:hAnsi="Tw Cen MT" w:cs="Segoe UI"/>
          <w:sz w:val="22"/>
        </w:rPr>
        <w:t>ntera</w:t>
      </w:r>
      <w:r w:rsidRPr="005F20E1">
        <w:rPr>
          <w:rFonts w:ascii="Tw Cen MT" w:hAnsi="Tw Cen MT" w:cs="Segoe UI"/>
          <w:sz w:val="22"/>
        </w:rPr>
        <w:t xml:space="preserve">gir avec les parties prenantes </w:t>
      </w:r>
      <w:r w:rsidR="0016301B" w:rsidRPr="005F20E1">
        <w:rPr>
          <w:rFonts w:ascii="Tw Cen MT" w:hAnsi="Tw Cen MT" w:cs="Segoe UI"/>
          <w:sz w:val="22"/>
        </w:rPr>
        <w:t xml:space="preserve">afin de s’assurer de leur bonne information sur le </w:t>
      </w:r>
      <w:r w:rsidR="00D3185A" w:rsidRPr="005F20E1">
        <w:rPr>
          <w:rFonts w:ascii="Tw Cen MT" w:hAnsi="Tw Cen MT" w:cs="Segoe UI"/>
          <w:sz w:val="22"/>
        </w:rPr>
        <w:t>Projet</w:t>
      </w:r>
      <w:r w:rsidR="002F3FF3" w:rsidRPr="005F20E1">
        <w:rPr>
          <w:rFonts w:ascii="Tw Cen MT" w:hAnsi="Tw Cen MT" w:cs="Segoe UI"/>
          <w:sz w:val="22"/>
        </w:rPr>
        <w:t> ;</w:t>
      </w:r>
      <w:r w:rsidR="0016301B" w:rsidRPr="005F20E1">
        <w:rPr>
          <w:rFonts w:ascii="Tw Cen MT" w:hAnsi="Tw Cen MT" w:cs="Segoe UI"/>
          <w:sz w:val="22"/>
        </w:rPr>
        <w:t xml:space="preserve"> </w:t>
      </w:r>
    </w:p>
    <w:p w14:paraId="5464ED45" w14:textId="01AACAC4" w:rsidR="0016301B" w:rsidRPr="000F1A1C" w:rsidRDefault="00992296" w:rsidP="000F1A1C">
      <w:pPr>
        <w:pStyle w:val="Default"/>
        <w:numPr>
          <w:ilvl w:val="0"/>
          <w:numId w:val="70"/>
        </w:numPr>
        <w:ind w:left="709" w:hanging="283"/>
        <w:jc w:val="both"/>
        <w:rPr>
          <w:rFonts w:ascii="Tw Cen MT" w:hAnsi="Tw Cen MT" w:cs="Calibri"/>
          <w:color w:val="auto"/>
          <w:sz w:val="22"/>
          <w:szCs w:val="20"/>
        </w:rPr>
      </w:pPr>
      <w:r w:rsidRPr="000F1A1C">
        <w:rPr>
          <w:rFonts w:ascii="Tw Cen MT" w:hAnsi="Tw Cen MT" w:cs="Segoe UI"/>
          <w:sz w:val="22"/>
        </w:rPr>
        <w:t>Préparer et participer aux missions de supervision conduites par le siège de l’AFD</w:t>
      </w:r>
      <w:r w:rsidR="004643C9">
        <w:rPr>
          <w:rFonts w:ascii="Tw Cen MT" w:hAnsi="Tw Cen MT" w:cs="Segoe UI"/>
          <w:sz w:val="22"/>
        </w:rPr>
        <w:t xml:space="preserve"> </w:t>
      </w:r>
      <w:r w:rsidR="002C350D">
        <w:rPr>
          <w:rFonts w:ascii="Tw Cen MT" w:hAnsi="Tw Cen MT" w:cs="Segoe UI"/>
          <w:sz w:val="22"/>
        </w:rPr>
        <w:t>(notamment par le responsable d’équipe projet de la division Energie</w:t>
      </w:r>
      <w:r w:rsidR="00F938B4">
        <w:rPr>
          <w:rFonts w:ascii="Tw Cen MT" w:hAnsi="Tw Cen MT" w:cs="Segoe UI"/>
          <w:sz w:val="22"/>
        </w:rPr>
        <w:t xml:space="preserve">, </w:t>
      </w:r>
      <w:r w:rsidR="002C350D">
        <w:rPr>
          <w:rFonts w:ascii="Tw Cen MT" w:hAnsi="Tw Cen MT" w:cs="Segoe UI"/>
          <w:sz w:val="22"/>
        </w:rPr>
        <w:t>par l’expert.e E&amp;S</w:t>
      </w:r>
      <w:r w:rsidR="00F938B4">
        <w:rPr>
          <w:rFonts w:ascii="Tw Cen MT" w:hAnsi="Tw Cen MT" w:cs="Segoe UI"/>
          <w:sz w:val="22"/>
        </w:rPr>
        <w:t>, et</w:t>
      </w:r>
      <w:r w:rsidR="00385F0E">
        <w:rPr>
          <w:rFonts w:ascii="Tw Cen MT" w:hAnsi="Tw Cen MT" w:cs="Segoe UI"/>
          <w:sz w:val="22"/>
        </w:rPr>
        <w:t>/</w:t>
      </w:r>
      <w:r w:rsidR="00F938B4">
        <w:rPr>
          <w:rFonts w:ascii="Tw Cen MT" w:hAnsi="Tw Cen MT" w:cs="Segoe UI"/>
          <w:sz w:val="22"/>
        </w:rPr>
        <w:t>ou autre(s) expert.e.s du siège</w:t>
      </w:r>
      <w:r w:rsidR="002C350D">
        <w:rPr>
          <w:rFonts w:ascii="Tw Cen MT" w:hAnsi="Tw Cen MT" w:cs="Segoe UI"/>
          <w:sz w:val="22"/>
        </w:rPr>
        <w:t>).</w:t>
      </w:r>
    </w:p>
    <w:p w14:paraId="3EEF5EA9" w14:textId="2524CD2A" w:rsidR="0016301B" w:rsidRPr="000F1A1C" w:rsidRDefault="008C1AC3" w:rsidP="000F1A1C">
      <w:pPr>
        <w:pStyle w:val="Default"/>
        <w:numPr>
          <w:ilvl w:val="0"/>
          <w:numId w:val="70"/>
        </w:numPr>
        <w:ind w:left="709" w:hanging="283"/>
        <w:jc w:val="both"/>
        <w:rPr>
          <w:rFonts w:ascii="Tw Cen MT" w:hAnsi="Tw Cen MT" w:cs="Calibri"/>
          <w:color w:val="auto"/>
          <w:sz w:val="22"/>
          <w:szCs w:val="20"/>
        </w:rPr>
      </w:pPr>
      <w:r w:rsidRPr="000F1A1C">
        <w:rPr>
          <w:rFonts w:ascii="Tw Cen MT" w:hAnsi="Tw Cen MT" w:cs="Calibri"/>
          <w:color w:val="auto"/>
          <w:sz w:val="22"/>
          <w:szCs w:val="20"/>
        </w:rPr>
        <w:lastRenderedPageBreak/>
        <w:t>O</w:t>
      </w:r>
      <w:r w:rsidR="0016301B" w:rsidRPr="000F1A1C">
        <w:rPr>
          <w:rFonts w:ascii="Tw Cen MT" w:hAnsi="Tw Cen MT" w:cs="Calibri"/>
          <w:color w:val="auto"/>
          <w:sz w:val="22"/>
          <w:szCs w:val="20"/>
        </w:rPr>
        <w:t xml:space="preserve">rganiser, préparer et participer à des rencontres régulières </w:t>
      </w:r>
      <w:r w:rsidR="002F3FF3" w:rsidRPr="000F1A1C">
        <w:rPr>
          <w:rFonts w:ascii="Tw Cen MT" w:hAnsi="Tw Cen MT" w:cs="Calibri"/>
          <w:color w:val="auto"/>
          <w:sz w:val="22"/>
          <w:szCs w:val="20"/>
        </w:rPr>
        <w:t xml:space="preserve">avec </w:t>
      </w:r>
      <w:r w:rsidR="0016301B" w:rsidRPr="000F1A1C">
        <w:rPr>
          <w:rFonts w:ascii="Tw Cen MT" w:hAnsi="Tw Cen MT" w:cs="Calibri"/>
          <w:color w:val="auto"/>
          <w:sz w:val="22"/>
          <w:szCs w:val="20"/>
        </w:rPr>
        <w:t>la D</w:t>
      </w:r>
      <w:r w:rsidR="005A73E9" w:rsidRPr="000F1A1C">
        <w:rPr>
          <w:rFonts w:ascii="Tw Cen MT" w:hAnsi="Tw Cen MT" w:cs="Calibri"/>
          <w:color w:val="auto"/>
          <w:sz w:val="22"/>
          <w:szCs w:val="20"/>
        </w:rPr>
        <w:t>élégation de l’</w:t>
      </w:r>
      <w:r w:rsidR="0016301B" w:rsidRPr="000F1A1C">
        <w:rPr>
          <w:rFonts w:ascii="Tw Cen MT" w:hAnsi="Tw Cen MT" w:cs="Calibri"/>
          <w:color w:val="auto"/>
          <w:sz w:val="22"/>
          <w:szCs w:val="20"/>
        </w:rPr>
        <w:t xml:space="preserve">UE </w:t>
      </w:r>
      <w:r w:rsidR="002C350D">
        <w:rPr>
          <w:rFonts w:ascii="Tw Cen MT" w:hAnsi="Tw Cen MT" w:cs="Calibri"/>
          <w:color w:val="auto"/>
          <w:sz w:val="22"/>
          <w:szCs w:val="20"/>
        </w:rPr>
        <w:t xml:space="preserve">(DUE) </w:t>
      </w:r>
      <w:r w:rsidR="002F3FF3" w:rsidRPr="000F1A1C">
        <w:rPr>
          <w:rFonts w:ascii="Tw Cen MT" w:hAnsi="Tw Cen MT" w:cs="Calibri"/>
          <w:color w:val="auto"/>
          <w:sz w:val="22"/>
          <w:szCs w:val="20"/>
        </w:rPr>
        <w:t>afin de faciliter une veille informative sur l’état d’exécution des activités du programme</w:t>
      </w:r>
      <w:r w:rsidR="002C350D">
        <w:rPr>
          <w:rFonts w:ascii="Tw Cen MT" w:hAnsi="Tw Cen MT" w:cs="Calibri"/>
          <w:color w:val="auto"/>
          <w:sz w:val="22"/>
          <w:szCs w:val="20"/>
        </w:rPr>
        <w:t>.</w:t>
      </w:r>
    </w:p>
    <w:p w14:paraId="000F5722" w14:textId="0FDF90FD" w:rsidR="00D3185A" w:rsidRPr="000F1A1C" w:rsidRDefault="00D3185A" w:rsidP="000F1A1C">
      <w:pPr>
        <w:pStyle w:val="Default"/>
        <w:numPr>
          <w:ilvl w:val="0"/>
          <w:numId w:val="70"/>
        </w:numPr>
        <w:ind w:left="709" w:hanging="283"/>
        <w:jc w:val="both"/>
        <w:rPr>
          <w:rFonts w:ascii="Tw Cen MT" w:hAnsi="Tw Cen MT" w:cs="Calibri"/>
          <w:color w:val="auto"/>
          <w:sz w:val="22"/>
          <w:szCs w:val="20"/>
        </w:rPr>
      </w:pPr>
      <w:r w:rsidRPr="000F1A1C">
        <w:rPr>
          <w:rFonts w:ascii="Tw Cen MT" w:hAnsi="Tw Cen MT" w:cs="Calibri"/>
          <w:color w:val="auto"/>
          <w:sz w:val="22"/>
          <w:szCs w:val="20"/>
        </w:rPr>
        <w:t>Organiser la circulation d’information entre les parties prenantes des projets et la remontée des informations pertinentes à la DUE</w:t>
      </w:r>
      <w:r w:rsidR="002C350D">
        <w:rPr>
          <w:rFonts w:ascii="Tw Cen MT" w:hAnsi="Tw Cen MT" w:cs="Calibri"/>
          <w:color w:val="auto"/>
          <w:sz w:val="22"/>
          <w:szCs w:val="20"/>
        </w:rPr>
        <w:t>.</w:t>
      </w:r>
    </w:p>
    <w:p w14:paraId="678E6FBE" w14:textId="127F069B" w:rsidR="0016301B" w:rsidRPr="000F1A1C" w:rsidRDefault="002F3FF3" w:rsidP="000F1A1C">
      <w:pPr>
        <w:pStyle w:val="Default"/>
        <w:numPr>
          <w:ilvl w:val="0"/>
          <w:numId w:val="70"/>
        </w:numPr>
        <w:ind w:left="709" w:hanging="283"/>
        <w:jc w:val="both"/>
        <w:rPr>
          <w:rFonts w:ascii="Tw Cen MT" w:hAnsi="Tw Cen MT" w:cs="Calibri"/>
          <w:color w:val="auto"/>
          <w:sz w:val="22"/>
          <w:szCs w:val="20"/>
        </w:rPr>
      </w:pPr>
      <w:r w:rsidRPr="000F1A1C">
        <w:rPr>
          <w:rFonts w:ascii="Tw Cen MT" w:hAnsi="Tw Cen MT" w:cs="Calibri"/>
          <w:color w:val="auto"/>
          <w:sz w:val="22"/>
          <w:szCs w:val="20"/>
        </w:rPr>
        <w:t>Veiller à une bonne coordination</w:t>
      </w:r>
      <w:r w:rsidR="0016301B" w:rsidRPr="000F1A1C">
        <w:rPr>
          <w:rFonts w:ascii="Tw Cen MT" w:hAnsi="Tw Cen MT" w:cs="Calibri"/>
          <w:color w:val="auto"/>
          <w:sz w:val="22"/>
          <w:szCs w:val="20"/>
        </w:rPr>
        <w:t xml:space="preserve"> </w:t>
      </w:r>
      <w:r w:rsidRPr="000F1A1C">
        <w:rPr>
          <w:rFonts w:ascii="Tw Cen MT" w:hAnsi="Tw Cen MT" w:cs="Calibri"/>
          <w:color w:val="auto"/>
          <w:sz w:val="22"/>
          <w:szCs w:val="20"/>
        </w:rPr>
        <w:t xml:space="preserve">des activités du </w:t>
      </w:r>
      <w:r w:rsidR="00D3185A" w:rsidRPr="000F1A1C">
        <w:rPr>
          <w:rFonts w:ascii="Tw Cen MT" w:hAnsi="Tw Cen MT" w:cs="Calibri"/>
          <w:color w:val="auto"/>
          <w:sz w:val="22"/>
          <w:szCs w:val="20"/>
        </w:rPr>
        <w:t>Projet</w:t>
      </w:r>
      <w:r w:rsidRPr="000F1A1C">
        <w:rPr>
          <w:rFonts w:ascii="Tw Cen MT" w:hAnsi="Tw Cen MT" w:cs="Calibri"/>
          <w:color w:val="auto"/>
          <w:sz w:val="22"/>
          <w:szCs w:val="20"/>
        </w:rPr>
        <w:t xml:space="preserve"> </w:t>
      </w:r>
      <w:r w:rsidR="0016301B" w:rsidRPr="000F1A1C">
        <w:rPr>
          <w:rFonts w:ascii="Tw Cen MT" w:hAnsi="Tw Cen MT" w:cs="Calibri"/>
          <w:color w:val="auto"/>
          <w:sz w:val="22"/>
          <w:szCs w:val="20"/>
        </w:rPr>
        <w:t xml:space="preserve">avec </w:t>
      </w:r>
      <w:r w:rsidRPr="000F1A1C">
        <w:rPr>
          <w:rFonts w:ascii="Tw Cen MT" w:hAnsi="Tw Cen MT" w:cs="Calibri"/>
          <w:color w:val="auto"/>
          <w:sz w:val="22"/>
          <w:szCs w:val="20"/>
        </w:rPr>
        <w:t>celles d</w:t>
      </w:r>
      <w:r w:rsidR="0016301B" w:rsidRPr="000F1A1C">
        <w:rPr>
          <w:rFonts w:ascii="Tw Cen MT" w:hAnsi="Tw Cen MT" w:cs="Calibri"/>
          <w:color w:val="auto"/>
          <w:sz w:val="22"/>
          <w:szCs w:val="20"/>
        </w:rPr>
        <w:t xml:space="preserve">es autres </w:t>
      </w:r>
      <w:r w:rsidR="008C1AC3" w:rsidRPr="000F1A1C">
        <w:rPr>
          <w:rFonts w:ascii="Tw Cen MT" w:hAnsi="Tw Cen MT" w:cs="Calibri"/>
          <w:color w:val="auto"/>
          <w:sz w:val="22"/>
          <w:szCs w:val="20"/>
        </w:rPr>
        <w:t>parties prenantes</w:t>
      </w:r>
      <w:r w:rsidR="0016301B" w:rsidRPr="000F1A1C">
        <w:rPr>
          <w:rFonts w:ascii="Tw Cen MT" w:hAnsi="Tw Cen MT" w:cs="Calibri"/>
          <w:color w:val="auto"/>
          <w:sz w:val="22"/>
          <w:szCs w:val="20"/>
        </w:rPr>
        <w:t xml:space="preserve"> impliqués dans le programme</w:t>
      </w:r>
      <w:r w:rsidR="00D3185A" w:rsidRPr="000F1A1C">
        <w:rPr>
          <w:rFonts w:ascii="Tw Cen MT" w:hAnsi="Tw Cen MT" w:cs="Calibri"/>
          <w:color w:val="auto"/>
          <w:sz w:val="22"/>
          <w:szCs w:val="20"/>
        </w:rPr>
        <w:t xml:space="preserve"> </w:t>
      </w:r>
      <w:r w:rsidR="007E62B5" w:rsidRPr="008E3CED">
        <w:rPr>
          <w:rFonts w:ascii="Tw Cen MT" w:hAnsi="Tw Cen MT" w:cs="Calibri"/>
          <w:color w:val="auto"/>
          <w:sz w:val="22"/>
          <w:szCs w:val="20"/>
        </w:rPr>
        <w:t>(BAD,</w:t>
      </w:r>
      <w:r w:rsidR="005F2C9D">
        <w:rPr>
          <w:rFonts w:ascii="Tw Cen MT" w:hAnsi="Tw Cen MT" w:cs="Calibri"/>
          <w:color w:val="auto"/>
          <w:sz w:val="22"/>
          <w:szCs w:val="20"/>
        </w:rPr>
        <w:t xml:space="preserve"> </w:t>
      </w:r>
      <w:r w:rsidR="007E62B5" w:rsidRPr="008E3CED">
        <w:rPr>
          <w:rFonts w:ascii="Tw Cen MT" w:hAnsi="Tw Cen MT" w:cs="Calibri"/>
          <w:color w:val="auto"/>
          <w:sz w:val="22"/>
          <w:szCs w:val="20"/>
        </w:rPr>
        <w:t>BM</w:t>
      </w:r>
      <w:r w:rsidR="007E62B5" w:rsidRPr="00CC247C">
        <w:rPr>
          <w:rFonts w:ascii="Tw Cen MT" w:hAnsi="Tw Cen MT" w:cs="Calibri"/>
          <w:color w:val="auto"/>
          <w:sz w:val="22"/>
          <w:szCs w:val="20"/>
        </w:rPr>
        <w:t xml:space="preserve"> etc.)</w:t>
      </w:r>
      <w:r w:rsidR="002C350D">
        <w:rPr>
          <w:rFonts w:ascii="Tw Cen MT" w:hAnsi="Tw Cen MT" w:cs="Calibri"/>
          <w:color w:val="auto"/>
          <w:sz w:val="22"/>
          <w:szCs w:val="20"/>
        </w:rPr>
        <w:t>.</w:t>
      </w:r>
      <w:r w:rsidR="0016301B" w:rsidRPr="000F1A1C">
        <w:rPr>
          <w:rFonts w:ascii="Tw Cen MT" w:hAnsi="Tw Cen MT" w:cs="Calibri"/>
          <w:color w:val="auto"/>
          <w:sz w:val="22"/>
          <w:szCs w:val="20"/>
        </w:rPr>
        <w:t xml:space="preserve"> </w:t>
      </w:r>
    </w:p>
    <w:p w14:paraId="578B4E55" w14:textId="405ABC62" w:rsidR="00C47F7E" w:rsidRPr="000F1A1C" w:rsidRDefault="002F3FF3" w:rsidP="000F1A1C">
      <w:pPr>
        <w:pStyle w:val="Default"/>
        <w:numPr>
          <w:ilvl w:val="0"/>
          <w:numId w:val="70"/>
        </w:numPr>
        <w:ind w:left="709" w:hanging="283"/>
        <w:jc w:val="both"/>
        <w:rPr>
          <w:rFonts w:ascii="Tw Cen MT" w:hAnsi="Tw Cen MT"/>
          <w:sz w:val="22"/>
          <w:szCs w:val="20"/>
        </w:rPr>
      </w:pPr>
      <w:r w:rsidRPr="000F1A1C">
        <w:rPr>
          <w:rFonts w:ascii="Tw Cen MT" w:hAnsi="Tw Cen MT" w:cs="Calibri"/>
          <w:color w:val="auto"/>
          <w:sz w:val="22"/>
          <w:szCs w:val="20"/>
        </w:rPr>
        <w:t>Représenter</w:t>
      </w:r>
      <w:r w:rsidR="0016301B" w:rsidRPr="000F1A1C">
        <w:rPr>
          <w:rFonts w:ascii="Tw Cen MT" w:hAnsi="Tw Cen MT" w:cs="Calibri"/>
          <w:color w:val="auto"/>
          <w:sz w:val="22"/>
          <w:szCs w:val="20"/>
        </w:rPr>
        <w:t xml:space="preserve"> l’AFD aux évènements </w:t>
      </w:r>
      <w:r w:rsidR="00813587" w:rsidRPr="000F1A1C">
        <w:rPr>
          <w:rFonts w:ascii="Tw Cen MT" w:hAnsi="Tw Cen MT" w:cs="Calibri"/>
          <w:color w:val="auto"/>
          <w:sz w:val="22"/>
          <w:szCs w:val="20"/>
        </w:rPr>
        <w:t>pertinents</w:t>
      </w:r>
      <w:r w:rsidR="0016301B" w:rsidRPr="000F1A1C">
        <w:rPr>
          <w:rFonts w:ascii="Tw Cen MT" w:hAnsi="Tw Cen MT" w:cs="Calibri"/>
          <w:color w:val="auto"/>
          <w:sz w:val="22"/>
          <w:szCs w:val="20"/>
        </w:rPr>
        <w:t xml:space="preserve"> pour le programme</w:t>
      </w:r>
      <w:r w:rsidRPr="000F1A1C">
        <w:rPr>
          <w:rFonts w:ascii="Tw Cen MT" w:hAnsi="Tw Cen MT" w:cs="Calibri"/>
          <w:color w:val="auto"/>
          <w:sz w:val="22"/>
          <w:szCs w:val="20"/>
        </w:rPr>
        <w:t xml:space="preserve"> (comité de pilotage</w:t>
      </w:r>
      <w:r w:rsidR="00F938B4">
        <w:rPr>
          <w:rFonts w:ascii="Tw Cen MT" w:hAnsi="Tw Cen MT" w:cs="Calibri"/>
          <w:color w:val="auto"/>
          <w:sz w:val="22"/>
          <w:szCs w:val="20"/>
        </w:rPr>
        <w:t xml:space="preserve"> ou de suivi</w:t>
      </w:r>
      <w:r w:rsidRPr="000F1A1C">
        <w:rPr>
          <w:rFonts w:ascii="Tw Cen MT" w:hAnsi="Tw Cen MT" w:cs="Calibri"/>
          <w:color w:val="auto"/>
          <w:sz w:val="22"/>
          <w:szCs w:val="20"/>
        </w:rPr>
        <w:t xml:space="preserve">, </w:t>
      </w:r>
      <w:r w:rsidR="00E37C2A" w:rsidRPr="000F1A1C">
        <w:rPr>
          <w:rFonts w:ascii="Tw Cen MT" w:hAnsi="Tw Cen MT" w:cs="Calibri"/>
          <w:color w:val="auto"/>
          <w:sz w:val="22"/>
          <w:szCs w:val="20"/>
        </w:rPr>
        <w:t>etc.</w:t>
      </w:r>
      <w:r w:rsidRPr="000F1A1C">
        <w:rPr>
          <w:rFonts w:ascii="Tw Cen MT" w:hAnsi="Tw Cen MT" w:cs="Calibri"/>
          <w:color w:val="auto"/>
          <w:sz w:val="22"/>
          <w:szCs w:val="20"/>
        </w:rPr>
        <w:t>)</w:t>
      </w:r>
      <w:r w:rsidR="004643C9">
        <w:rPr>
          <w:rFonts w:ascii="Tw Cen MT" w:hAnsi="Tw Cen MT" w:cs="Calibri"/>
          <w:color w:val="auto"/>
          <w:sz w:val="22"/>
          <w:szCs w:val="20"/>
        </w:rPr>
        <w:t> ;</w:t>
      </w:r>
    </w:p>
    <w:p w14:paraId="4569C27C" w14:textId="1CA24E5E" w:rsidR="00D3185A" w:rsidRPr="000F1A1C" w:rsidRDefault="00E37C2A" w:rsidP="000F1A1C">
      <w:pPr>
        <w:pStyle w:val="Default"/>
        <w:numPr>
          <w:ilvl w:val="0"/>
          <w:numId w:val="70"/>
        </w:numPr>
        <w:ind w:left="709" w:hanging="283"/>
        <w:jc w:val="both"/>
        <w:rPr>
          <w:rFonts w:ascii="Tw Cen MT" w:hAnsi="Tw Cen MT" w:cs="Calibri"/>
          <w:color w:val="auto"/>
          <w:sz w:val="22"/>
          <w:szCs w:val="20"/>
        </w:rPr>
      </w:pPr>
      <w:r w:rsidRPr="000F1A1C">
        <w:rPr>
          <w:rFonts w:ascii="Tw Cen MT" w:hAnsi="Tw Cen MT" w:cs="Calibri"/>
          <w:color w:val="auto"/>
          <w:sz w:val="22"/>
          <w:szCs w:val="20"/>
        </w:rPr>
        <w:t>Veiller à la production</w:t>
      </w:r>
      <w:r w:rsidR="00D3185A" w:rsidRPr="000F1A1C">
        <w:rPr>
          <w:rFonts w:ascii="Tw Cen MT" w:hAnsi="Tw Cen MT" w:cs="Calibri"/>
          <w:color w:val="auto"/>
          <w:sz w:val="22"/>
          <w:szCs w:val="20"/>
        </w:rPr>
        <w:t xml:space="preserve"> et à la qualité</w:t>
      </w:r>
      <w:r w:rsidRPr="000F1A1C">
        <w:rPr>
          <w:rFonts w:ascii="Tw Cen MT" w:hAnsi="Tw Cen MT" w:cs="Calibri"/>
          <w:color w:val="auto"/>
          <w:sz w:val="22"/>
          <w:szCs w:val="20"/>
        </w:rPr>
        <w:t xml:space="preserve"> du rapport périodique d’activités du </w:t>
      </w:r>
      <w:r w:rsidR="00D3185A" w:rsidRPr="000F1A1C">
        <w:rPr>
          <w:rFonts w:ascii="Tw Cen MT" w:hAnsi="Tw Cen MT" w:cs="Calibri"/>
          <w:color w:val="auto"/>
          <w:sz w:val="22"/>
          <w:szCs w:val="20"/>
        </w:rPr>
        <w:t>P</w:t>
      </w:r>
      <w:r w:rsidR="008C1AC3" w:rsidRPr="000F1A1C">
        <w:rPr>
          <w:rFonts w:ascii="Tw Cen MT" w:hAnsi="Tw Cen MT" w:cs="Calibri"/>
          <w:color w:val="auto"/>
          <w:sz w:val="22"/>
          <w:szCs w:val="20"/>
        </w:rPr>
        <w:t>rojet</w:t>
      </w:r>
      <w:r w:rsidR="00D3185A" w:rsidRPr="000F1A1C">
        <w:rPr>
          <w:rFonts w:ascii="Tw Cen MT" w:hAnsi="Tw Cen MT" w:cs="Calibri"/>
          <w:color w:val="auto"/>
          <w:sz w:val="22"/>
          <w:szCs w:val="20"/>
        </w:rPr>
        <w:t xml:space="preserve"> par la maitrise d’ouvrage conformément au reporting conventionnel</w:t>
      </w:r>
      <w:r w:rsidR="002C350D">
        <w:rPr>
          <w:rFonts w:ascii="Tw Cen MT" w:hAnsi="Tw Cen MT" w:cs="Calibri"/>
          <w:color w:val="auto"/>
          <w:sz w:val="22"/>
          <w:szCs w:val="20"/>
        </w:rPr>
        <w:t>.</w:t>
      </w:r>
    </w:p>
    <w:p w14:paraId="0556FB9F" w14:textId="71673004" w:rsidR="00E37C2A" w:rsidRPr="000F1A1C" w:rsidRDefault="00E37C2A" w:rsidP="000F1A1C">
      <w:pPr>
        <w:pStyle w:val="Default"/>
        <w:numPr>
          <w:ilvl w:val="0"/>
          <w:numId w:val="70"/>
        </w:numPr>
        <w:ind w:left="709" w:hanging="283"/>
        <w:jc w:val="both"/>
        <w:rPr>
          <w:rFonts w:ascii="Tw Cen MT" w:hAnsi="Tw Cen MT" w:cs="Calibri"/>
          <w:color w:val="auto"/>
          <w:sz w:val="22"/>
          <w:szCs w:val="20"/>
        </w:rPr>
      </w:pPr>
      <w:r w:rsidRPr="000F1A1C">
        <w:rPr>
          <w:rFonts w:ascii="Tw Cen MT" w:hAnsi="Tw Cen MT" w:cs="Calibri"/>
          <w:color w:val="auto"/>
          <w:sz w:val="22"/>
          <w:szCs w:val="20"/>
        </w:rPr>
        <w:t xml:space="preserve"> </w:t>
      </w:r>
      <w:r w:rsidR="00D3185A" w:rsidRPr="000F1A1C">
        <w:rPr>
          <w:rFonts w:ascii="Tw Cen MT" w:hAnsi="Tw Cen MT" w:cs="Calibri"/>
          <w:color w:val="auto"/>
          <w:sz w:val="22"/>
          <w:szCs w:val="20"/>
        </w:rPr>
        <w:t xml:space="preserve">En lien avec l’équipe projet, </w:t>
      </w:r>
      <w:r w:rsidR="00653E19" w:rsidRPr="000F1A1C">
        <w:rPr>
          <w:rFonts w:ascii="Tw Cen MT" w:hAnsi="Tw Cen MT" w:cs="Calibri"/>
          <w:color w:val="auto"/>
          <w:sz w:val="22"/>
          <w:szCs w:val="20"/>
        </w:rPr>
        <w:t xml:space="preserve">contribuer à la </w:t>
      </w:r>
      <w:r w:rsidR="00D3185A" w:rsidRPr="000F1A1C">
        <w:rPr>
          <w:rFonts w:ascii="Tw Cen MT" w:hAnsi="Tw Cen MT" w:cs="Calibri"/>
          <w:color w:val="auto"/>
          <w:sz w:val="22"/>
          <w:szCs w:val="20"/>
        </w:rPr>
        <w:t>produ</w:t>
      </w:r>
      <w:r w:rsidR="00653E19" w:rsidRPr="000F1A1C">
        <w:rPr>
          <w:rFonts w:ascii="Tw Cen MT" w:hAnsi="Tw Cen MT" w:cs="Calibri"/>
          <w:color w:val="auto"/>
          <w:sz w:val="22"/>
          <w:szCs w:val="20"/>
        </w:rPr>
        <w:t>ction</w:t>
      </w:r>
      <w:r w:rsidR="00D3185A" w:rsidRPr="000F1A1C">
        <w:rPr>
          <w:rFonts w:ascii="Tw Cen MT" w:hAnsi="Tw Cen MT" w:cs="Calibri"/>
          <w:color w:val="auto"/>
          <w:sz w:val="22"/>
          <w:szCs w:val="20"/>
        </w:rPr>
        <w:t xml:space="preserve"> </w:t>
      </w:r>
      <w:r w:rsidR="00653E19" w:rsidRPr="000F1A1C">
        <w:rPr>
          <w:rFonts w:ascii="Tw Cen MT" w:hAnsi="Tw Cen MT" w:cs="Calibri"/>
          <w:color w:val="auto"/>
          <w:sz w:val="22"/>
          <w:szCs w:val="20"/>
        </w:rPr>
        <w:t>du</w:t>
      </w:r>
      <w:r w:rsidR="00D3185A" w:rsidRPr="000F1A1C">
        <w:rPr>
          <w:rFonts w:ascii="Tw Cen MT" w:hAnsi="Tw Cen MT" w:cs="Calibri"/>
          <w:color w:val="auto"/>
          <w:sz w:val="22"/>
          <w:szCs w:val="20"/>
        </w:rPr>
        <w:t xml:space="preserve"> rapport périodique d’exécution à destination de l’UE </w:t>
      </w:r>
      <w:r w:rsidRPr="000F1A1C">
        <w:rPr>
          <w:rFonts w:ascii="Tw Cen MT" w:hAnsi="Tw Cen MT" w:cs="Calibri"/>
          <w:color w:val="auto"/>
          <w:sz w:val="22"/>
          <w:szCs w:val="20"/>
        </w:rPr>
        <w:t>conformément au format de reporting conventionnel</w:t>
      </w:r>
      <w:r w:rsidR="008C1AC3" w:rsidRPr="000F1A1C">
        <w:rPr>
          <w:rFonts w:ascii="Tw Cen MT" w:hAnsi="Tw Cen MT" w:cs="Calibri"/>
          <w:color w:val="auto"/>
          <w:sz w:val="22"/>
          <w:szCs w:val="20"/>
        </w:rPr>
        <w:t xml:space="preserve"> défini dans la convention de délégation</w:t>
      </w:r>
      <w:r w:rsidR="00D3185A" w:rsidRPr="000F1A1C">
        <w:rPr>
          <w:rFonts w:ascii="Tw Cen MT" w:hAnsi="Tw Cen MT" w:cs="Calibri"/>
          <w:color w:val="auto"/>
          <w:sz w:val="22"/>
          <w:szCs w:val="20"/>
        </w:rPr>
        <w:t xml:space="preserve"> et proposer dans les rapports d’activités de possibles améliorations</w:t>
      </w:r>
      <w:r w:rsidR="002C350D">
        <w:rPr>
          <w:rFonts w:ascii="Tw Cen MT" w:hAnsi="Tw Cen MT" w:cs="Calibri"/>
          <w:color w:val="auto"/>
          <w:sz w:val="22"/>
          <w:szCs w:val="20"/>
        </w:rPr>
        <w:t>.</w:t>
      </w:r>
    </w:p>
    <w:p w14:paraId="122166C6" w14:textId="0CFCB568" w:rsidR="00E37C2A" w:rsidRPr="000F1A1C" w:rsidRDefault="00E37C2A" w:rsidP="000F1A1C">
      <w:pPr>
        <w:pStyle w:val="Default"/>
        <w:numPr>
          <w:ilvl w:val="0"/>
          <w:numId w:val="70"/>
        </w:numPr>
        <w:ind w:left="709" w:hanging="283"/>
        <w:jc w:val="both"/>
        <w:rPr>
          <w:rFonts w:ascii="Tw Cen MT" w:hAnsi="Tw Cen MT" w:cs="Calibri"/>
          <w:color w:val="auto"/>
          <w:sz w:val="22"/>
          <w:szCs w:val="20"/>
        </w:rPr>
      </w:pPr>
      <w:r w:rsidRPr="000F1A1C">
        <w:rPr>
          <w:rFonts w:ascii="Tw Cen MT" w:hAnsi="Tw Cen MT" w:cs="Calibri"/>
          <w:color w:val="auto"/>
          <w:sz w:val="22"/>
          <w:szCs w:val="20"/>
        </w:rPr>
        <w:t xml:space="preserve">Organiser l’évaluation </w:t>
      </w:r>
      <w:r w:rsidR="00874DD3" w:rsidRPr="000F1A1C">
        <w:rPr>
          <w:rFonts w:ascii="Tw Cen MT" w:hAnsi="Tw Cen MT" w:cs="Calibri"/>
          <w:color w:val="auto"/>
          <w:sz w:val="22"/>
          <w:szCs w:val="20"/>
        </w:rPr>
        <w:t xml:space="preserve">à </w:t>
      </w:r>
      <w:r w:rsidRPr="000F1A1C">
        <w:rPr>
          <w:rFonts w:ascii="Tw Cen MT" w:hAnsi="Tw Cen MT" w:cs="Calibri"/>
          <w:color w:val="auto"/>
          <w:sz w:val="22"/>
          <w:szCs w:val="20"/>
        </w:rPr>
        <w:t xml:space="preserve">mi-parcours du projet et </w:t>
      </w:r>
      <w:r w:rsidR="00D9607F" w:rsidRPr="000F1A1C">
        <w:rPr>
          <w:rFonts w:ascii="Tw Cen MT" w:hAnsi="Tw Cen MT" w:cs="Calibri"/>
          <w:color w:val="auto"/>
          <w:sz w:val="22"/>
          <w:szCs w:val="20"/>
        </w:rPr>
        <w:t xml:space="preserve">le </w:t>
      </w:r>
      <w:r w:rsidRPr="000F1A1C">
        <w:rPr>
          <w:rFonts w:ascii="Tw Cen MT" w:hAnsi="Tw Cen MT" w:cs="Calibri"/>
          <w:color w:val="auto"/>
          <w:sz w:val="22"/>
          <w:szCs w:val="20"/>
        </w:rPr>
        <w:t>contrôle ex-post des audits annuels</w:t>
      </w:r>
      <w:r w:rsidR="00992296" w:rsidRPr="000F1A1C">
        <w:rPr>
          <w:rFonts w:ascii="Tw Cen MT" w:hAnsi="Tw Cen MT" w:cs="Calibri"/>
          <w:color w:val="auto"/>
          <w:sz w:val="22"/>
          <w:szCs w:val="20"/>
        </w:rPr>
        <w:t>.</w:t>
      </w:r>
    </w:p>
    <w:p w14:paraId="42F0F724" w14:textId="3706016B" w:rsidR="00385272" w:rsidRPr="000F1A1C" w:rsidRDefault="00385272" w:rsidP="000F1A1C">
      <w:pPr>
        <w:pStyle w:val="Default"/>
        <w:jc w:val="both"/>
        <w:rPr>
          <w:rFonts w:ascii="Tw Cen MT" w:hAnsi="Tw Cen MT" w:cs="Segoe UI"/>
          <w:sz w:val="22"/>
          <w:szCs w:val="20"/>
        </w:rPr>
      </w:pPr>
    </w:p>
    <w:p w14:paraId="314603A9" w14:textId="77777777" w:rsidR="00992296" w:rsidRPr="000F1A1C" w:rsidRDefault="00992296" w:rsidP="00385272">
      <w:pPr>
        <w:spacing w:before="100" w:beforeAutospacing="1" w:after="100" w:afterAutospacing="1" w:line="259" w:lineRule="auto"/>
        <w:jc w:val="both"/>
        <w:rPr>
          <w:rFonts w:ascii="Tw Cen MT" w:hAnsi="Tw Cen MT" w:cs="Calibri"/>
          <w:b/>
          <w:szCs w:val="20"/>
        </w:rPr>
      </w:pPr>
      <w:r w:rsidRPr="000F1A1C">
        <w:rPr>
          <w:rFonts w:ascii="Tw Cen MT" w:hAnsi="Tw Cen MT" w:cs="Calibri"/>
          <w:b/>
          <w:szCs w:val="20"/>
        </w:rPr>
        <w:t>OS</w:t>
      </w:r>
      <w:r>
        <w:rPr>
          <w:rFonts w:ascii="Tw Cen MT" w:hAnsi="Tw Cen MT" w:cs="Calibri"/>
          <w:b/>
          <w:szCs w:val="20"/>
        </w:rPr>
        <w:t xml:space="preserve"> </w:t>
      </w:r>
      <w:r w:rsidRPr="000F1A1C">
        <w:rPr>
          <w:rFonts w:ascii="Tw Cen MT" w:hAnsi="Tw Cen MT" w:cs="Calibri"/>
          <w:b/>
          <w:szCs w:val="20"/>
        </w:rPr>
        <w:t xml:space="preserve">2 </w:t>
      </w:r>
      <w:r w:rsidR="002C350D">
        <w:rPr>
          <w:rFonts w:ascii="Tw Cen MT" w:hAnsi="Tw Cen MT" w:cs="Calibri"/>
          <w:b/>
          <w:szCs w:val="20"/>
        </w:rPr>
        <w:t xml:space="preserve">- </w:t>
      </w:r>
      <w:r w:rsidR="00385272" w:rsidRPr="000F1A1C">
        <w:rPr>
          <w:rFonts w:ascii="Tw Cen MT" w:hAnsi="Tw Cen MT" w:cs="Calibri"/>
          <w:b/>
          <w:szCs w:val="20"/>
        </w:rPr>
        <w:t xml:space="preserve">Suivi des politiques et des stratégies sectorielles dans le secteur de l’énergie </w:t>
      </w:r>
      <w:r w:rsidRPr="000F1A1C">
        <w:rPr>
          <w:rFonts w:ascii="Tw Cen MT" w:hAnsi="Tw Cen MT" w:cs="Calibri"/>
          <w:b/>
          <w:szCs w:val="20"/>
        </w:rPr>
        <w:t>et participation à l’animation du dialogue sectoriel</w:t>
      </w:r>
    </w:p>
    <w:p w14:paraId="66072D3B" w14:textId="77777777" w:rsidR="002C350D" w:rsidRPr="000F1A1C" w:rsidRDefault="002C350D" w:rsidP="000F1A1C">
      <w:pPr>
        <w:pStyle w:val="Default"/>
        <w:numPr>
          <w:ilvl w:val="0"/>
          <w:numId w:val="78"/>
        </w:numPr>
        <w:jc w:val="both"/>
        <w:rPr>
          <w:rFonts w:ascii="Tw Cen MT" w:hAnsi="Tw Cen MT" w:cs="Calibri"/>
          <w:sz w:val="22"/>
          <w:szCs w:val="20"/>
        </w:rPr>
      </w:pPr>
      <w:r w:rsidRPr="00A950D3">
        <w:rPr>
          <w:rFonts w:ascii="Tw Cen MT" w:hAnsi="Tw Cen MT" w:cs="Calibri"/>
          <w:sz w:val="22"/>
          <w:szCs w:val="20"/>
        </w:rPr>
        <w:t>Assurer une veille sectorielle active en analysant les orientations de la politique du pays</w:t>
      </w:r>
      <w:r w:rsidRPr="000F1A1C">
        <w:rPr>
          <w:rFonts w:ascii="Tw Cen MT" w:hAnsi="Tw Cen MT" w:cs="Calibri"/>
          <w:sz w:val="22"/>
          <w:szCs w:val="20"/>
        </w:rPr>
        <w:t xml:space="preserve"> </w:t>
      </w:r>
      <w:r w:rsidRPr="00353EAA">
        <w:rPr>
          <w:rFonts w:ascii="Tw Cen MT" w:hAnsi="Tw Cen MT" w:cs="Calibri"/>
          <w:sz w:val="22"/>
          <w:szCs w:val="20"/>
        </w:rPr>
        <w:t xml:space="preserve">et en suivant l’évolution de la réforme </w:t>
      </w:r>
      <w:r w:rsidRPr="00CC247C">
        <w:rPr>
          <w:rFonts w:ascii="Tw Cen MT" w:hAnsi="Tw Cen MT" w:cs="Calibri"/>
          <w:sz w:val="22"/>
          <w:szCs w:val="20"/>
        </w:rPr>
        <w:t>organisationnelle de la SOMELEC</w:t>
      </w:r>
      <w:r w:rsidRPr="00CC247C" w:rsidDel="002C350D">
        <w:rPr>
          <w:rFonts w:ascii="Tw Cen MT" w:hAnsi="Tw Cen MT" w:cs="Calibri"/>
          <w:sz w:val="22"/>
          <w:szCs w:val="20"/>
        </w:rPr>
        <w:t>.</w:t>
      </w:r>
    </w:p>
    <w:p w14:paraId="253C6F8D" w14:textId="164F1AF7" w:rsidR="002C350D" w:rsidRPr="000F1A1C" w:rsidRDefault="002C350D" w:rsidP="000F1A1C">
      <w:pPr>
        <w:pStyle w:val="Default"/>
        <w:numPr>
          <w:ilvl w:val="0"/>
          <w:numId w:val="78"/>
        </w:numPr>
        <w:jc w:val="both"/>
        <w:rPr>
          <w:rFonts w:ascii="Tw Cen MT" w:hAnsi="Tw Cen MT" w:cs="Calibri"/>
          <w:sz w:val="22"/>
          <w:szCs w:val="20"/>
        </w:rPr>
      </w:pPr>
      <w:r w:rsidRPr="000F1A1C">
        <w:rPr>
          <w:rFonts w:ascii="Tw Cen MT" w:hAnsi="Tw Cen MT" w:cs="Calibri"/>
          <w:sz w:val="22"/>
          <w:szCs w:val="20"/>
        </w:rPr>
        <w:t xml:space="preserve">Réaliser </w:t>
      </w:r>
      <w:r w:rsidR="00F938B4">
        <w:rPr>
          <w:rFonts w:ascii="Tw Cen MT" w:hAnsi="Tw Cen MT" w:cs="Calibri"/>
          <w:sz w:val="22"/>
          <w:szCs w:val="20"/>
        </w:rPr>
        <w:t>un</w:t>
      </w:r>
      <w:r w:rsidR="00023407">
        <w:rPr>
          <w:rFonts w:ascii="Tw Cen MT" w:hAnsi="Tw Cen MT" w:cs="Calibri"/>
          <w:sz w:val="22"/>
          <w:szCs w:val="20"/>
        </w:rPr>
        <w:t>e cartographie</w:t>
      </w:r>
      <w:r w:rsidR="00F938B4">
        <w:rPr>
          <w:rFonts w:ascii="Tw Cen MT" w:hAnsi="Tw Cen MT" w:cs="Calibri"/>
          <w:sz w:val="22"/>
          <w:szCs w:val="20"/>
        </w:rPr>
        <w:t xml:space="preserve"> </w:t>
      </w:r>
      <w:r w:rsidR="00023407" w:rsidRPr="000F1A1C">
        <w:rPr>
          <w:rFonts w:ascii="Tw Cen MT" w:hAnsi="Tw Cen MT" w:cs="Calibri"/>
          <w:sz w:val="22"/>
          <w:szCs w:val="20"/>
        </w:rPr>
        <w:t>des</w:t>
      </w:r>
      <w:r w:rsidR="00023407" w:rsidRPr="00F938B4">
        <w:rPr>
          <w:rFonts w:ascii="Tw Cen MT" w:hAnsi="Tw Cen MT" w:cs="Calibri"/>
          <w:sz w:val="22"/>
          <w:szCs w:val="20"/>
        </w:rPr>
        <w:t xml:space="preserve"> </w:t>
      </w:r>
      <w:r w:rsidR="00023407" w:rsidRPr="000F1A1C">
        <w:rPr>
          <w:rFonts w:ascii="Tw Cen MT" w:hAnsi="Tw Cen MT" w:cs="Calibri"/>
          <w:sz w:val="22"/>
          <w:szCs w:val="20"/>
        </w:rPr>
        <w:t>opérateurs publics et privés du secteur (SOMELEC et délégataires)</w:t>
      </w:r>
      <w:r w:rsidR="00F938B4">
        <w:rPr>
          <w:rFonts w:ascii="Tw Cen MT" w:hAnsi="Tw Cen MT" w:cs="Calibri"/>
          <w:sz w:val="22"/>
          <w:szCs w:val="20"/>
        </w:rPr>
        <w:t xml:space="preserve"> et </w:t>
      </w:r>
      <w:r w:rsidRPr="000F1A1C">
        <w:rPr>
          <w:rFonts w:ascii="Tw Cen MT" w:hAnsi="Tw Cen MT" w:cs="Calibri"/>
          <w:sz w:val="22"/>
          <w:szCs w:val="20"/>
        </w:rPr>
        <w:t>un suivi de l</w:t>
      </w:r>
      <w:r w:rsidR="00023407">
        <w:rPr>
          <w:rFonts w:ascii="Tw Cen MT" w:hAnsi="Tw Cen MT" w:cs="Calibri"/>
          <w:sz w:val="22"/>
          <w:szCs w:val="20"/>
        </w:rPr>
        <w:t>eur</w:t>
      </w:r>
      <w:r w:rsidRPr="000F1A1C">
        <w:rPr>
          <w:rFonts w:ascii="Tw Cen MT" w:hAnsi="Tw Cen MT" w:cs="Calibri"/>
          <w:sz w:val="22"/>
          <w:szCs w:val="20"/>
        </w:rPr>
        <w:t xml:space="preserve"> performance technique et </w:t>
      </w:r>
      <w:r w:rsidR="00D16BDC" w:rsidRPr="000F1A1C">
        <w:rPr>
          <w:rFonts w:ascii="Tw Cen MT" w:hAnsi="Tw Cen MT" w:cs="Calibri"/>
          <w:sz w:val="22"/>
          <w:szCs w:val="20"/>
        </w:rPr>
        <w:t>financière.</w:t>
      </w:r>
    </w:p>
    <w:p w14:paraId="1A904286" w14:textId="44FF2B20" w:rsidR="00385272" w:rsidRPr="00A950D3" w:rsidRDefault="00385272" w:rsidP="000F1A1C">
      <w:pPr>
        <w:pStyle w:val="Default"/>
        <w:numPr>
          <w:ilvl w:val="0"/>
          <w:numId w:val="78"/>
        </w:numPr>
        <w:jc w:val="both"/>
        <w:rPr>
          <w:rFonts w:ascii="Tw Cen MT" w:hAnsi="Tw Cen MT" w:cs="Calibri"/>
          <w:sz w:val="22"/>
          <w:szCs w:val="20"/>
        </w:rPr>
      </w:pPr>
      <w:r w:rsidRPr="00A950D3">
        <w:rPr>
          <w:rFonts w:ascii="Tw Cen MT" w:hAnsi="Tw Cen MT" w:cs="Calibri"/>
          <w:sz w:val="22"/>
          <w:szCs w:val="20"/>
        </w:rPr>
        <w:t>Participer aux groupes de dialogue sectoriel en lien avec les autorités nationales et les partenaires techniques et financiers sur ce secteur</w:t>
      </w:r>
      <w:r w:rsidR="002C350D">
        <w:rPr>
          <w:rFonts w:ascii="Tw Cen MT" w:hAnsi="Tw Cen MT" w:cs="Calibri"/>
          <w:sz w:val="22"/>
          <w:szCs w:val="20"/>
        </w:rPr>
        <w:t>.</w:t>
      </w:r>
      <w:r w:rsidRPr="00A950D3">
        <w:rPr>
          <w:rFonts w:ascii="Tw Cen MT" w:hAnsi="Tw Cen MT" w:cs="Calibri"/>
          <w:sz w:val="22"/>
          <w:szCs w:val="20"/>
        </w:rPr>
        <w:t xml:space="preserve"> </w:t>
      </w:r>
    </w:p>
    <w:p w14:paraId="334302B0" w14:textId="77777777" w:rsidR="00385272" w:rsidRPr="00CC247C" w:rsidRDefault="00385272" w:rsidP="000F1A1C">
      <w:pPr>
        <w:pStyle w:val="Default"/>
        <w:numPr>
          <w:ilvl w:val="0"/>
          <w:numId w:val="78"/>
        </w:numPr>
        <w:jc w:val="both"/>
        <w:rPr>
          <w:rFonts w:ascii="Tw Cen MT" w:hAnsi="Tw Cen MT" w:cs="Calibri"/>
          <w:sz w:val="22"/>
          <w:szCs w:val="20"/>
        </w:rPr>
      </w:pPr>
      <w:r w:rsidRPr="00353EAA">
        <w:rPr>
          <w:rFonts w:ascii="Tw Cen MT" w:hAnsi="Tw Cen MT" w:cs="Calibri"/>
          <w:sz w:val="22"/>
          <w:szCs w:val="20"/>
        </w:rPr>
        <w:t xml:space="preserve">Animer la coordination de l’action inter-bailleurs </w:t>
      </w:r>
      <w:r w:rsidRPr="00CC247C">
        <w:rPr>
          <w:rFonts w:ascii="Tw Cen MT" w:hAnsi="Tw Cen MT" w:cs="Calibri"/>
          <w:sz w:val="22"/>
          <w:szCs w:val="20"/>
        </w:rPr>
        <w:t xml:space="preserve">(Banque Mondiale, Banque Africaine de Développement, DUE notamment) pour le Projet et réaliser une veille sur les actions de développement sur la zone du Projet (régions du Hodh El Chargui et Hodh El Gharbi). </w:t>
      </w:r>
    </w:p>
    <w:p w14:paraId="2CCAEB16" w14:textId="19DBFDF5" w:rsidR="00385272" w:rsidRPr="000F1A1C" w:rsidRDefault="00F938B4" w:rsidP="000F1A1C">
      <w:pPr>
        <w:pStyle w:val="Default"/>
        <w:numPr>
          <w:ilvl w:val="0"/>
          <w:numId w:val="78"/>
        </w:numPr>
        <w:jc w:val="both"/>
        <w:rPr>
          <w:rFonts w:ascii="Tw Cen MT" w:hAnsi="Tw Cen MT" w:cs="Calibri"/>
          <w:sz w:val="22"/>
          <w:szCs w:val="20"/>
        </w:rPr>
      </w:pPr>
      <w:r w:rsidRPr="00A950D3">
        <w:rPr>
          <w:rFonts w:ascii="Tw Cen MT" w:hAnsi="Tw Cen MT" w:cs="Calibri"/>
          <w:sz w:val="22"/>
          <w:szCs w:val="20"/>
        </w:rPr>
        <w:t>Être</w:t>
      </w:r>
      <w:r w:rsidR="00385272" w:rsidRPr="00A950D3">
        <w:rPr>
          <w:rFonts w:ascii="Tw Cen MT" w:hAnsi="Tw Cen MT" w:cs="Calibri"/>
          <w:sz w:val="22"/>
          <w:szCs w:val="20"/>
        </w:rPr>
        <w:t xml:space="preserve"> </w:t>
      </w:r>
      <w:r w:rsidR="00385272" w:rsidRPr="000F1A1C">
        <w:rPr>
          <w:rFonts w:ascii="Tw Cen MT" w:hAnsi="Tw Cen MT" w:cs="Calibri"/>
          <w:sz w:val="22"/>
          <w:szCs w:val="20"/>
        </w:rPr>
        <w:t xml:space="preserve">identifié et </w:t>
      </w:r>
      <w:r w:rsidR="00023407">
        <w:rPr>
          <w:rFonts w:ascii="Tw Cen MT" w:hAnsi="Tw Cen MT" w:cs="Calibri"/>
          <w:sz w:val="22"/>
          <w:szCs w:val="20"/>
        </w:rPr>
        <w:t>en capacité d’</w:t>
      </w:r>
      <w:r w:rsidR="00385272" w:rsidRPr="000F1A1C">
        <w:rPr>
          <w:rFonts w:ascii="Tw Cen MT" w:hAnsi="Tw Cen MT" w:cs="Calibri"/>
          <w:sz w:val="22"/>
          <w:szCs w:val="20"/>
        </w:rPr>
        <w:t>agir comme point focal du secteur de l’électrification rurale au sein de l’agence AFD de Nouakchott</w:t>
      </w:r>
      <w:r w:rsidR="00023407">
        <w:rPr>
          <w:rFonts w:ascii="Tw Cen MT" w:hAnsi="Tw Cen MT" w:cs="Calibri"/>
          <w:sz w:val="22"/>
          <w:szCs w:val="20"/>
        </w:rPr>
        <w:t xml:space="preserve"> et</w:t>
      </w:r>
      <w:r w:rsidR="00385272" w:rsidRPr="000F1A1C">
        <w:rPr>
          <w:rFonts w:ascii="Tw Cen MT" w:hAnsi="Tw Cen MT" w:cs="Calibri"/>
          <w:sz w:val="22"/>
          <w:szCs w:val="20"/>
        </w:rPr>
        <w:t xml:space="preserve"> pour la DUE de Nouakchott, notamment dans le cadre de leurs différents exercices de suivi/reporting</w:t>
      </w:r>
      <w:r w:rsidR="002C350D">
        <w:rPr>
          <w:rFonts w:ascii="Tw Cen MT" w:hAnsi="Tw Cen MT" w:cs="Calibri"/>
          <w:sz w:val="22"/>
          <w:szCs w:val="20"/>
        </w:rPr>
        <w:t>.</w:t>
      </w:r>
    </w:p>
    <w:p w14:paraId="7FA979F7" w14:textId="77777777" w:rsidR="00385272" w:rsidRPr="00353EAA" w:rsidRDefault="00385272" w:rsidP="000F1A1C">
      <w:pPr>
        <w:pStyle w:val="Default"/>
        <w:numPr>
          <w:ilvl w:val="0"/>
          <w:numId w:val="78"/>
        </w:numPr>
        <w:jc w:val="both"/>
        <w:rPr>
          <w:rFonts w:ascii="Tw Cen MT" w:hAnsi="Tw Cen MT" w:cs="Calibri"/>
          <w:sz w:val="22"/>
          <w:szCs w:val="20"/>
        </w:rPr>
      </w:pPr>
      <w:r w:rsidRPr="000F1A1C">
        <w:rPr>
          <w:rFonts w:ascii="Tw Cen MT" w:hAnsi="Tw Cen MT" w:cs="Calibri"/>
          <w:sz w:val="22"/>
          <w:szCs w:val="20"/>
        </w:rPr>
        <w:t>De façon générale, assurer une capitalisation sur les activités du Projet et du secteur (activités, formations, études, rapports d’évaluation, publications du secteur de l’électrification rurale en Mauritanie et dans la sous-région) afin de consolider l’expertise de l’AFD et de l’UE.</w:t>
      </w:r>
    </w:p>
    <w:p w14:paraId="23B8E3CE" w14:textId="77777777" w:rsidR="002C350D" w:rsidRDefault="002C350D" w:rsidP="000F1A1C">
      <w:pPr>
        <w:pStyle w:val="Default"/>
        <w:numPr>
          <w:ilvl w:val="0"/>
          <w:numId w:val="78"/>
        </w:numPr>
        <w:rPr>
          <w:rFonts w:ascii="Tw Cen MT" w:hAnsi="Tw Cen MT" w:cs="Calibri"/>
          <w:sz w:val="22"/>
          <w:szCs w:val="20"/>
        </w:rPr>
      </w:pPr>
      <w:r w:rsidRPr="00353EAA">
        <w:rPr>
          <w:rFonts w:ascii="Tw Cen MT" w:hAnsi="Tw Cen MT" w:cs="Calibri"/>
          <w:sz w:val="22"/>
          <w:szCs w:val="20"/>
        </w:rPr>
        <w:t>Contribuer à la mise à jour des fiches sectorielles</w:t>
      </w:r>
      <w:r>
        <w:rPr>
          <w:rFonts w:ascii="Tw Cen MT" w:hAnsi="Tw Cen MT" w:cs="Calibri"/>
          <w:sz w:val="22"/>
          <w:szCs w:val="20"/>
        </w:rPr>
        <w:t>.</w:t>
      </w:r>
      <w:r w:rsidRPr="00CC247C">
        <w:rPr>
          <w:rFonts w:ascii="Tw Cen MT" w:hAnsi="Tw Cen MT" w:cs="Calibri"/>
          <w:sz w:val="22"/>
          <w:szCs w:val="20"/>
        </w:rPr>
        <w:t xml:space="preserve"> </w:t>
      </w:r>
    </w:p>
    <w:p w14:paraId="39A1112C" w14:textId="150EA9B5" w:rsidR="00F938B4" w:rsidRPr="00CC247C" w:rsidRDefault="00F938B4" w:rsidP="000F1A1C">
      <w:pPr>
        <w:pStyle w:val="Default"/>
        <w:numPr>
          <w:ilvl w:val="0"/>
          <w:numId w:val="78"/>
        </w:numPr>
        <w:rPr>
          <w:rFonts w:ascii="Tw Cen MT" w:hAnsi="Tw Cen MT" w:cs="Calibri"/>
          <w:sz w:val="22"/>
          <w:szCs w:val="20"/>
        </w:rPr>
      </w:pPr>
      <w:r>
        <w:rPr>
          <w:rFonts w:ascii="Tw Cen MT" w:hAnsi="Tw Cen MT" w:cs="Calibri"/>
          <w:sz w:val="22"/>
          <w:szCs w:val="20"/>
        </w:rPr>
        <w:t xml:space="preserve">Préparer des présentations, des </w:t>
      </w:r>
      <w:r w:rsidR="00851981">
        <w:rPr>
          <w:rFonts w:ascii="Tw Cen MT" w:hAnsi="Tw Cen MT" w:cs="Calibri"/>
          <w:sz w:val="22"/>
          <w:szCs w:val="20"/>
        </w:rPr>
        <w:t>éléments de langage</w:t>
      </w:r>
      <w:r>
        <w:rPr>
          <w:rFonts w:ascii="Tw Cen MT" w:hAnsi="Tw Cen MT" w:cs="Calibri"/>
          <w:sz w:val="22"/>
          <w:szCs w:val="20"/>
        </w:rPr>
        <w:t xml:space="preserve"> ou tout autre document nécessaire sur l’évolution d</w:t>
      </w:r>
      <w:r w:rsidR="00851981">
        <w:rPr>
          <w:rFonts w:ascii="Tw Cen MT" w:hAnsi="Tw Cen MT" w:cs="Calibri"/>
          <w:sz w:val="22"/>
          <w:szCs w:val="20"/>
        </w:rPr>
        <w:t>u</w:t>
      </w:r>
      <w:r>
        <w:rPr>
          <w:rFonts w:ascii="Tw Cen MT" w:hAnsi="Tw Cen MT" w:cs="Calibri"/>
          <w:sz w:val="22"/>
          <w:szCs w:val="20"/>
        </w:rPr>
        <w:t xml:space="preserve"> secteur</w:t>
      </w:r>
      <w:r w:rsidR="00851981">
        <w:rPr>
          <w:rFonts w:ascii="Tw Cen MT" w:hAnsi="Tw Cen MT" w:cs="Calibri"/>
          <w:sz w:val="22"/>
          <w:szCs w:val="20"/>
        </w:rPr>
        <w:t xml:space="preserve"> ou</w:t>
      </w:r>
      <w:r>
        <w:rPr>
          <w:rFonts w:ascii="Tw Cen MT" w:hAnsi="Tw Cen MT" w:cs="Calibri"/>
          <w:sz w:val="22"/>
          <w:szCs w:val="20"/>
        </w:rPr>
        <w:t xml:space="preserve"> le positionnement de l’agence dans le secteur</w:t>
      </w:r>
      <w:r w:rsidR="00023407">
        <w:rPr>
          <w:rFonts w:ascii="Tw Cen MT" w:hAnsi="Tw Cen MT" w:cs="Calibri"/>
          <w:sz w:val="22"/>
          <w:szCs w:val="20"/>
        </w:rPr>
        <w:t>.</w:t>
      </w:r>
    </w:p>
    <w:p w14:paraId="07081F0B" w14:textId="77777777" w:rsidR="00385272" w:rsidRPr="000F1A1C" w:rsidRDefault="00385272" w:rsidP="00385272">
      <w:pPr>
        <w:jc w:val="both"/>
        <w:rPr>
          <w:rFonts w:ascii="Tw Cen MT" w:hAnsi="Tw Cen MT" w:cs="Segoe UI"/>
          <w:sz w:val="16"/>
          <w:szCs w:val="20"/>
        </w:rPr>
      </w:pPr>
    </w:p>
    <w:p w14:paraId="5D9BAE3A" w14:textId="77777777" w:rsidR="008624B3" w:rsidRPr="000F1A1C" w:rsidRDefault="00992296" w:rsidP="008624B3">
      <w:pPr>
        <w:spacing w:before="100" w:beforeAutospacing="1" w:after="100" w:afterAutospacing="1" w:line="259" w:lineRule="auto"/>
        <w:jc w:val="both"/>
        <w:rPr>
          <w:rFonts w:ascii="Tw Cen MT" w:hAnsi="Tw Cen MT" w:cs="Calibri"/>
          <w:b/>
          <w:szCs w:val="20"/>
        </w:rPr>
      </w:pPr>
      <w:r w:rsidRPr="000F1A1C">
        <w:rPr>
          <w:rFonts w:ascii="Tw Cen MT" w:hAnsi="Tw Cen MT" w:cs="Calibri"/>
          <w:b/>
          <w:color w:val="000000"/>
          <w:szCs w:val="20"/>
        </w:rPr>
        <w:t xml:space="preserve">OS 3 - </w:t>
      </w:r>
      <w:r w:rsidR="008624B3" w:rsidRPr="000F1A1C">
        <w:rPr>
          <w:rFonts w:ascii="Tw Cen MT" w:hAnsi="Tw Cen MT" w:cs="Calibri"/>
          <w:b/>
          <w:color w:val="000000"/>
          <w:szCs w:val="20"/>
        </w:rPr>
        <w:t xml:space="preserve">Identification de nouveaux projets </w:t>
      </w:r>
    </w:p>
    <w:p w14:paraId="3877E0FB" w14:textId="77777777" w:rsidR="008624B3" w:rsidRDefault="008624B3" w:rsidP="000F1A1C">
      <w:pPr>
        <w:pStyle w:val="Default"/>
        <w:jc w:val="both"/>
        <w:rPr>
          <w:rFonts w:ascii="Tw Cen MT" w:hAnsi="Tw Cen MT" w:cs="Calibri"/>
          <w:sz w:val="22"/>
          <w:szCs w:val="20"/>
        </w:rPr>
      </w:pPr>
      <w:r w:rsidRPr="000F1A1C">
        <w:rPr>
          <w:rFonts w:ascii="Tw Cen MT" w:hAnsi="Tw Cen MT" w:cs="Calibri"/>
          <w:sz w:val="22"/>
          <w:szCs w:val="20"/>
        </w:rPr>
        <w:t xml:space="preserve">Participer à l’identification de nouveaux projets dans le secteur énergie (incluant l’appui au montage d’opérations de </w:t>
      </w:r>
      <w:r w:rsidRPr="000F1A1C">
        <w:rPr>
          <w:rFonts w:ascii="Tw Cen MT" w:hAnsi="Tw Cen MT" w:cs="Calibri"/>
          <w:i/>
          <w:sz w:val="22"/>
          <w:szCs w:val="20"/>
        </w:rPr>
        <w:t>blending</w:t>
      </w:r>
      <w:r w:rsidRPr="000F1A1C">
        <w:rPr>
          <w:rFonts w:ascii="Tw Cen MT" w:hAnsi="Tw Cen MT" w:cs="Calibri"/>
          <w:sz w:val="22"/>
          <w:szCs w:val="20"/>
        </w:rPr>
        <w:t xml:space="preserve"> pouvant mobiliser le Fonds européen pour le développement durable Plus (EFSD+) et sa garantie).</w:t>
      </w:r>
    </w:p>
    <w:p w14:paraId="69FEC4F6" w14:textId="77777777" w:rsidR="004643C9" w:rsidRPr="000F1A1C" w:rsidRDefault="004643C9" w:rsidP="000F1A1C">
      <w:pPr>
        <w:pStyle w:val="Default"/>
        <w:ind w:left="720"/>
        <w:jc w:val="both"/>
        <w:rPr>
          <w:rFonts w:ascii="Tw Cen MT" w:hAnsi="Tw Cen MT" w:cs="Calibri"/>
          <w:sz w:val="14"/>
          <w:szCs w:val="20"/>
        </w:rPr>
      </w:pPr>
    </w:p>
    <w:p w14:paraId="6DD71204" w14:textId="77777777" w:rsidR="00385272" w:rsidRPr="000F1A1C" w:rsidRDefault="00992296" w:rsidP="00385272">
      <w:pPr>
        <w:spacing w:before="100" w:beforeAutospacing="1" w:after="100" w:afterAutospacing="1" w:line="259" w:lineRule="auto"/>
        <w:jc w:val="both"/>
        <w:rPr>
          <w:rFonts w:ascii="Tw Cen MT" w:hAnsi="Tw Cen MT" w:cs="Calibri"/>
          <w:b/>
          <w:szCs w:val="20"/>
        </w:rPr>
      </w:pPr>
      <w:r w:rsidRPr="000F1A1C">
        <w:rPr>
          <w:rFonts w:ascii="Tw Cen MT" w:hAnsi="Tw Cen MT" w:cs="Calibri"/>
          <w:b/>
          <w:szCs w:val="20"/>
        </w:rPr>
        <w:t>OS 4</w:t>
      </w:r>
      <w:r w:rsidR="002C350D">
        <w:rPr>
          <w:rFonts w:ascii="Tw Cen MT" w:hAnsi="Tw Cen MT" w:cs="Calibri"/>
          <w:b/>
          <w:szCs w:val="20"/>
        </w:rPr>
        <w:t xml:space="preserve"> </w:t>
      </w:r>
      <w:r w:rsidRPr="000F1A1C">
        <w:rPr>
          <w:rFonts w:ascii="Tw Cen MT" w:hAnsi="Tw Cen MT" w:cs="Calibri"/>
          <w:b/>
          <w:szCs w:val="20"/>
        </w:rPr>
        <w:t xml:space="preserve">- </w:t>
      </w:r>
      <w:r w:rsidR="00385272" w:rsidRPr="000F1A1C">
        <w:rPr>
          <w:rFonts w:ascii="Tw Cen MT" w:hAnsi="Tw Cen MT" w:cs="Calibri"/>
          <w:b/>
          <w:szCs w:val="20"/>
        </w:rPr>
        <w:t xml:space="preserve">Appui et supervision d’autres projets sectoriels </w:t>
      </w:r>
    </w:p>
    <w:p w14:paraId="683A84BE" w14:textId="460AD81A" w:rsidR="008624B3" w:rsidRDefault="00385272" w:rsidP="000F1A1C">
      <w:pPr>
        <w:pStyle w:val="Default"/>
        <w:jc w:val="both"/>
        <w:rPr>
          <w:rFonts w:ascii="Calibri" w:hAnsi="Calibri" w:cs="Calibri"/>
          <w:sz w:val="22"/>
          <w:szCs w:val="22"/>
        </w:rPr>
      </w:pPr>
      <w:r w:rsidRPr="00353EAA">
        <w:rPr>
          <w:rFonts w:ascii="Tw Cen MT" w:hAnsi="Tw Cen MT" w:cs="Calibri"/>
          <w:sz w:val="22"/>
          <w:szCs w:val="20"/>
        </w:rPr>
        <w:t>Selon l</w:t>
      </w:r>
      <w:r w:rsidR="00886427">
        <w:rPr>
          <w:rFonts w:ascii="Tw Cen MT" w:hAnsi="Tw Cen MT" w:cs="Calibri"/>
          <w:sz w:val="22"/>
          <w:szCs w:val="20"/>
        </w:rPr>
        <w:t>’</w:t>
      </w:r>
      <w:r w:rsidRPr="00353EAA">
        <w:rPr>
          <w:rFonts w:ascii="Tw Cen MT" w:hAnsi="Tw Cen MT" w:cs="Calibri"/>
          <w:sz w:val="22"/>
          <w:szCs w:val="20"/>
        </w:rPr>
        <w:t>évolution des ressources humaines et de la répartition des secteurs au sein de l’agence, vous serez susceptibles d’assurer ponctuellem</w:t>
      </w:r>
      <w:r w:rsidRPr="00CC247C">
        <w:rPr>
          <w:rFonts w:ascii="Tw Cen MT" w:hAnsi="Tw Cen MT" w:cs="Calibri"/>
          <w:sz w:val="22"/>
          <w:szCs w:val="20"/>
        </w:rPr>
        <w:t xml:space="preserve">ent l’appui à la supervision d’autres projets du secteur (ex : projet de renforcement des compétences PACSEM et/ou </w:t>
      </w:r>
      <w:r w:rsidR="00886427">
        <w:rPr>
          <w:rFonts w:ascii="Tw Cen MT" w:hAnsi="Tw Cen MT" w:cs="Calibri"/>
          <w:sz w:val="22"/>
          <w:szCs w:val="20"/>
        </w:rPr>
        <w:t xml:space="preserve">programme PIEMM de </w:t>
      </w:r>
      <w:r w:rsidRPr="00CC247C">
        <w:rPr>
          <w:rFonts w:ascii="Tw Cen MT" w:hAnsi="Tw Cen MT" w:cs="Calibri"/>
          <w:sz w:val="22"/>
          <w:szCs w:val="20"/>
        </w:rPr>
        <w:t xml:space="preserve">financement </w:t>
      </w:r>
      <w:r w:rsidR="00886427">
        <w:rPr>
          <w:rFonts w:ascii="Tw Cen MT" w:hAnsi="Tw Cen MT" w:cs="Calibri"/>
          <w:sz w:val="22"/>
          <w:szCs w:val="20"/>
        </w:rPr>
        <w:t>du réseau de transport d’électricité et de la centrale solaire de Kiffa</w:t>
      </w:r>
      <w:r w:rsidRPr="00CC247C">
        <w:rPr>
          <w:rFonts w:ascii="Tw Cen MT" w:hAnsi="Tw Cen MT" w:cs="Calibri"/>
          <w:sz w:val="22"/>
          <w:szCs w:val="20"/>
        </w:rPr>
        <w:t>) ou en lien avec les défis d’adaptation et d’atténuation des effets du changement climatique auquel fait face le pays</w:t>
      </w:r>
      <w:r w:rsidRPr="000F1A1C">
        <w:rPr>
          <w:rFonts w:ascii="Tw Cen MT" w:hAnsi="Tw Cen MT" w:cs="Calibri"/>
          <w:sz w:val="20"/>
          <w:szCs w:val="20"/>
        </w:rPr>
        <w:t>.</w:t>
      </w:r>
    </w:p>
    <w:p w14:paraId="280350FB" w14:textId="77777777" w:rsidR="00780D23" w:rsidRPr="000F1A1C" w:rsidRDefault="00780D23" w:rsidP="006215E2">
      <w:pPr>
        <w:pStyle w:val="Default"/>
        <w:rPr>
          <w:rFonts w:ascii="Calibri" w:hAnsi="Calibri" w:cs="Calibri"/>
          <w:sz w:val="22"/>
          <w:szCs w:val="22"/>
        </w:rPr>
      </w:pPr>
    </w:p>
    <w:p w14:paraId="22466C80" w14:textId="29113ACF" w:rsidR="008C1AC3" w:rsidRPr="000F1A1C" w:rsidRDefault="008C1AC3" w:rsidP="000F1A1C">
      <w:pPr>
        <w:pStyle w:val="Titre1"/>
        <w:rPr>
          <w:b w:val="0"/>
          <w:lang w:eastAsia="en-US"/>
        </w:rPr>
      </w:pPr>
      <w:r w:rsidRPr="000F1A1C">
        <w:rPr>
          <w:lang w:eastAsia="en-US"/>
        </w:rPr>
        <w:t xml:space="preserve">Livrables </w:t>
      </w:r>
    </w:p>
    <w:p w14:paraId="02BD30A3" w14:textId="77777777" w:rsidR="000853F8" w:rsidRPr="000F1A1C" w:rsidRDefault="000853F8" w:rsidP="006215E2">
      <w:pPr>
        <w:pStyle w:val="Default"/>
        <w:rPr>
          <w:rFonts w:ascii="Calibri" w:hAnsi="Calibri" w:cs="Calibri"/>
          <w:sz w:val="10"/>
          <w:szCs w:val="22"/>
        </w:rPr>
      </w:pPr>
    </w:p>
    <w:p w14:paraId="1D75A6F1" w14:textId="5440DFF1" w:rsidR="00780D23" w:rsidRPr="000F1A1C" w:rsidRDefault="00780D23" w:rsidP="000F1A1C">
      <w:pPr>
        <w:pStyle w:val="Default"/>
        <w:jc w:val="both"/>
        <w:rPr>
          <w:rFonts w:ascii="Tw Cen MT" w:hAnsi="Tw Cen MT" w:cs="Calibri"/>
          <w:sz w:val="22"/>
          <w:szCs w:val="22"/>
        </w:rPr>
      </w:pPr>
      <w:r w:rsidRPr="000F1A1C">
        <w:rPr>
          <w:rFonts w:ascii="Tw Cen MT" w:hAnsi="Tw Cen MT" w:cs="Calibri"/>
          <w:sz w:val="22"/>
          <w:szCs w:val="22"/>
        </w:rPr>
        <w:t>Au-delà des actions courantes d’appui à gestion d</w:t>
      </w:r>
      <w:r w:rsidR="00194FF9">
        <w:rPr>
          <w:rFonts w:ascii="Tw Cen MT" w:hAnsi="Tw Cen MT" w:cs="Calibri"/>
          <w:sz w:val="22"/>
          <w:szCs w:val="22"/>
        </w:rPr>
        <w:t>es</w:t>
      </w:r>
      <w:r w:rsidRPr="000F1A1C">
        <w:rPr>
          <w:rFonts w:ascii="Tw Cen MT" w:hAnsi="Tw Cen MT" w:cs="Calibri"/>
          <w:sz w:val="22"/>
          <w:szCs w:val="22"/>
        </w:rPr>
        <w:t xml:space="preserve"> </w:t>
      </w:r>
      <w:r w:rsidR="00194FF9">
        <w:rPr>
          <w:rFonts w:ascii="Tw Cen MT" w:hAnsi="Tw Cen MT" w:cs="Calibri"/>
          <w:sz w:val="22"/>
          <w:szCs w:val="22"/>
        </w:rPr>
        <w:t>p</w:t>
      </w:r>
      <w:r w:rsidRPr="000F1A1C">
        <w:rPr>
          <w:rFonts w:ascii="Tw Cen MT" w:hAnsi="Tw Cen MT" w:cs="Calibri"/>
          <w:sz w:val="22"/>
          <w:szCs w:val="22"/>
        </w:rPr>
        <w:t>rojet</w:t>
      </w:r>
      <w:r w:rsidR="00194FF9">
        <w:rPr>
          <w:rFonts w:ascii="Tw Cen MT" w:hAnsi="Tw Cen MT" w:cs="Calibri"/>
          <w:sz w:val="22"/>
          <w:szCs w:val="22"/>
        </w:rPr>
        <w:t>s</w:t>
      </w:r>
      <w:r w:rsidRPr="000F1A1C">
        <w:rPr>
          <w:rFonts w:ascii="Tw Cen MT" w:hAnsi="Tw Cen MT" w:cs="Calibri"/>
          <w:sz w:val="22"/>
          <w:szCs w:val="22"/>
        </w:rPr>
        <w:t xml:space="preserve"> et de veille sectorielle, l</w:t>
      </w:r>
      <w:r w:rsidR="006215E2" w:rsidRPr="000F1A1C">
        <w:rPr>
          <w:rFonts w:ascii="Tw Cen MT" w:hAnsi="Tw Cen MT" w:cs="Calibri"/>
          <w:sz w:val="22"/>
          <w:szCs w:val="22"/>
        </w:rPr>
        <w:t>e</w:t>
      </w:r>
      <w:r w:rsidR="000853F8" w:rsidRPr="000F1A1C">
        <w:rPr>
          <w:rFonts w:ascii="Tw Cen MT" w:hAnsi="Tw Cen MT" w:cs="Calibri"/>
          <w:sz w:val="22"/>
          <w:szCs w:val="22"/>
        </w:rPr>
        <w:t>/la</w:t>
      </w:r>
      <w:r w:rsidR="006215E2" w:rsidRPr="000F1A1C">
        <w:rPr>
          <w:rFonts w:ascii="Tw Cen MT" w:hAnsi="Tw Cen MT" w:cs="Calibri"/>
          <w:sz w:val="22"/>
          <w:szCs w:val="22"/>
        </w:rPr>
        <w:t xml:space="preserve"> consultant</w:t>
      </w:r>
      <w:r w:rsidR="000853F8" w:rsidRPr="000F1A1C">
        <w:rPr>
          <w:rFonts w:ascii="Tw Cen MT" w:hAnsi="Tw Cen MT" w:cs="Calibri"/>
          <w:sz w:val="22"/>
          <w:szCs w:val="22"/>
        </w:rPr>
        <w:t>.e</w:t>
      </w:r>
      <w:r w:rsidR="006215E2" w:rsidRPr="000F1A1C">
        <w:rPr>
          <w:rFonts w:ascii="Tw Cen MT" w:hAnsi="Tw Cen MT" w:cs="Calibri"/>
          <w:sz w:val="22"/>
          <w:szCs w:val="22"/>
        </w:rPr>
        <w:t xml:space="preserve"> devra soumettre</w:t>
      </w:r>
      <w:r w:rsidR="000853F8" w:rsidRPr="000F1A1C">
        <w:rPr>
          <w:rFonts w:ascii="Tw Cen MT" w:hAnsi="Tw Cen MT" w:cs="Calibri"/>
          <w:sz w:val="22"/>
          <w:szCs w:val="22"/>
        </w:rPr>
        <w:t xml:space="preserve"> à l’AFD </w:t>
      </w:r>
      <w:r w:rsidRPr="000F1A1C">
        <w:rPr>
          <w:rFonts w:ascii="Tw Cen MT" w:hAnsi="Tw Cen MT" w:cs="Calibri"/>
          <w:sz w:val="22"/>
          <w:szCs w:val="22"/>
        </w:rPr>
        <w:t xml:space="preserve">dans le cadre du traitement de </w:t>
      </w:r>
      <w:r w:rsidR="00886427">
        <w:rPr>
          <w:rFonts w:ascii="Tw Cen MT" w:hAnsi="Tw Cen MT" w:cs="Calibri"/>
          <w:sz w:val="22"/>
          <w:szCs w:val="22"/>
        </w:rPr>
        <w:t>s</w:t>
      </w:r>
      <w:r w:rsidRPr="000F1A1C">
        <w:rPr>
          <w:rFonts w:ascii="Tw Cen MT" w:hAnsi="Tw Cen MT" w:cs="Calibri"/>
          <w:sz w:val="22"/>
          <w:szCs w:val="22"/>
        </w:rPr>
        <w:t xml:space="preserve">es factures </w:t>
      </w:r>
      <w:r w:rsidR="00776889" w:rsidRPr="000F1A1C">
        <w:rPr>
          <w:rFonts w:ascii="Tw Cen MT" w:hAnsi="Tw Cen MT" w:cs="Calibri"/>
          <w:sz w:val="22"/>
          <w:szCs w:val="22"/>
        </w:rPr>
        <w:t xml:space="preserve">(hors avance de démarrage) </w:t>
      </w:r>
      <w:r w:rsidR="000853F8" w:rsidRPr="000F1A1C">
        <w:rPr>
          <w:rFonts w:ascii="Tw Cen MT" w:hAnsi="Tw Cen MT" w:cs="Calibri"/>
          <w:sz w:val="22"/>
          <w:szCs w:val="22"/>
        </w:rPr>
        <w:t xml:space="preserve">: </w:t>
      </w:r>
    </w:p>
    <w:p w14:paraId="45923AFA" w14:textId="6E4A0830" w:rsidR="006215E2" w:rsidRPr="000F1A1C" w:rsidRDefault="006215E2" w:rsidP="00761FAC">
      <w:pPr>
        <w:pStyle w:val="Default"/>
        <w:numPr>
          <w:ilvl w:val="0"/>
          <w:numId w:val="50"/>
        </w:numPr>
        <w:spacing w:after="27"/>
        <w:jc w:val="both"/>
        <w:rPr>
          <w:rFonts w:ascii="Tw Cen MT" w:hAnsi="Tw Cen MT" w:cs="Calibri"/>
          <w:sz w:val="22"/>
          <w:szCs w:val="22"/>
        </w:rPr>
      </w:pPr>
      <w:r w:rsidRPr="000F1A1C">
        <w:rPr>
          <w:rFonts w:ascii="Tw Cen MT" w:hAnsi="Tw Cen MT" w:cs="Calibri"/>
          <w:sz w:val="22"/>
          <w:szCs w:val="22"/>
        </w:rPr>
        <w:t xml:space="preserve">un rapport </w:t>
      </w:r>
      <w:r w:rsidR="00306E5E" w:rsidRPr="000F1A1C">
        <w:rPr>
          <w:rFonts w:ascii="Tw Cen MT" w:hAnsi="Tw Cen MT" w:cs="Calibri"/>
          <w:sz w:val="22"/>
          <w:szCs w:val="22"/>
        </w:rPr>
        <w:t>trimestriel d</w:t>
      </w:r>
      <w:r w:rsidRPr="000F1A1C">
        <w:rPr>
          <w:rFonts w:ascii="Tw Cen MT" w:hAnsi="Tw Cen MT" w:cs="Calibri"/>
          <w:sz w:val="22"/>
          <w:szCs w:val="22"/>
        </w:rPr>
        <w:t xml:space="preserve">e </w:t>
      </w:r>
      <w:r w:rsidR="004D33B9" w:rsidRPr="000F1A1C">
        <w:rPr>
          <w:rFonts w:ascii="Tw Cen MT" w:hAnsi="Tw Cen MT" w:cs="Calibri"/>
          <w:sz w:val="22"/>
          <w:szCs w:val="22"/>
        </w:rPr>
        <w:t>ses activités</w:t>
      </w:r>
      <w:r w:rsidRPr="000F1A1C">
        <w:rPr>
          <w:rFonts w:ascii="Tw Cen MT" w:hAnsi="Tw Cen MT" w:cs="Calibri"/>
          <w:sz w:val="22"/>
          <w:szCs w:val="22"/>
        </w:rPr>
        <w:t>, y</w:t>
      </w:r>
      <w:r w:rsidR="00E37C2A" w:rsidRPr="000F1A1C">
        <w:rPr>
          <w:rFonts w:ascii="Tw Cen MT" w:hAnsi="Tw Cen MT" w:cs="Calibri"/>
          <w:sz w:val="22"/>
          <w:szCs w:val="22"/>
        </w:rPr>
        <w:t xml:space="preserve"> </w:t>
      </w:r>
      <w:r w:rsidRPr="000F1A1C">
        <w:rPr>
          <w:rFonts w:ascii="Tw Cen MT" w:hAnsi="Tw Cen MT" w:cs="Calibri"/>
          <w:sz w:val="22"/>
          <w:szCs w:val="22"/>
        </w:rPr>
        <w:t>compris une annexe avec</w:t>
      </w:r>
      <w:r w:rsidR="00E37C2A" w:rsidRPr="000F1A1C">
        <w:rPr>
          <w:rFonts w:ascii="Tw Cen MT" w:hAnsi="Tw Cen MT" w:cs="Calibri"/>
          <w:sz w:val="22"/>
          <w:szCs w:val="22"/>
        </w:rPr>
        <w:t xml:space="preserve"> </w:t>
      </w:r>
      <w:r w:rsidRPr="000F1A1C">
        <w:rPr>
          <w:rFonts w:ascii="Tw Cen MT" w:hAnsi="Tw Cen MT" w:cs="Calibri"/>
          <w:sz w:val="22"/>
          <w:szCs w:val="22"/>
        </w:rPr>
        <w:t>son agenda et le temps passé</w:t>
      </w:r>
      <w:r w:rsidR="000853F8" w:rsidRPr="000F1A1C">
        <w:rPr>
          <w:rFonts w:ascii="Tw Cen MT" w:hAnsi="Tw Cen MT" w:cs="Calibri"/>
          <w:sz w:val="22"/>
          <w:szCs w:val="22"/>
        </w:rPr>
        <w:t xml:space="preserve"> sur les activités</w:t>
      </w:r>
      <w:r w:rsidR="00776889" w:rsidRPr="000F1A1C">
        <w:rPr>
          <w:rFonts w:ascii="Tw Cen MT" w:hAnsi="Tw Cen MT" w:cs="Calibri"/>
          <w:sz w:val="22"/>
          <w:szCs w:val="22"/>
        </w:rPr>
        <w:t xml:space="preserve"> – </w:t>
      </w:r>
      <w:r w:rsidR="00776889" w:rsidRPr="000F1A1C">
        <w:rPr>
          <w:rFonts w:ascii="Tw Cen MT" w:hAnsi="Tw Cen MT" w:cs="Calibri"/>
          <w:i/>
          <w:sz w:val="22"/>
          <w:szCs w:val="22"/>
        </w:rPr>
        <w:t>à l’achèvement de chaque trimestre exécuté</w:t>
      </w:r>
      <w:r w:rsidR="00776889" w:rsidRPr="000F1A1C">
        <w:rPr>
          <w:rFonts w:ascii="Tw Cen MT" w:hAnsi="Tw Cen MT" w:cs="Calibri"/>
          <w:sz w:val="22"/>
          <w:szCs w:val="22"/>
        </w:rPr>
        <w:t xml:space="preserve"> </w:t>
      </w:r>
      <w:r w:rsidRPr="000F1A1C">
        <w:rPr>
          <w:rFonts w:ascii="Tw Cen MT" w:hAnsi="Tw Cen MT" w:cs="Calibri"/>
          <w:sz w:val="22"/>
          <w:szCs w:val="22"/>
        </w:rPr>
        <w:t>;</w:t>
      </w:r>
    </w:p>
    <w:p w14:paraId="15ED50FB" w14:textId="360D59D0" w:rsidR="00780D23" w:rsidRDefault="000853F8" w:rsidP="00FE511B">
      <w:pPr>
        <w:pStyle w:val="Default"/>
        <w:numPr>
          <w:ilvl w:val="0"/>
          <w:numId w:val="50"/>
        </w:numPr>
        <w:spacing w:after="27"/>
        <w:jc w:val="both"/>
        <w:rPr>
          <w:rFonts w:ascii="Tw Cen MT" w:hAnsi="Tw Cen MT" w:cs="Calibri"/>
          <w:sz w:val="22"/>
          <w:szCs w:val="22"/>
        </w:rPr>
      </w:pPr>
      <w:r w:rsidRPr="000F1A1C">
        <w:rPr>
          <w:rFonts w:ascii="Tw Cen MT" w:hAnsi="Tw Cen MT" w:cs="Calibri"/>
          <w:sz w:val="22"/>
          <w:szCs w:val="22"/>
        </w:rPr>
        <w:t>un</w:t>
      </w:r>
      <w:r w:rsidR="006215E2" w:rsidRPr="000F1A1C">
        <w:rPr>
          <w:rFonts w:ascii="Tw Cen MT" w:hAnsi="Tw Cen MT" w:cs="Calibri"/>
          <w:sz w:val="22"/>
          <w:szCs w:val="22"/>
        </w:rPr>
        <w:t xml:space="preserve"> rapport semestriel sur </w:t>
      </w:r>
      <w:r w:rsidR="004D33B9" w:rsidRPr="000F1A1C">
        <w:rPr>
          <w:rFonts w:ascii="Tw Cen MT" w:hAnsi="Tw Cen MT" w:cs="Calibri"/>
          <w:sz w:val="22"/>
          <w:szCs w:val="22"/>
        </w:rPr>
        <w:t>l’état d’avancement</w:t>
      </w:r>
      <w:r w:rsidR="006215E2" w:rsidRPr="000F1A1C">
        <w:rPr>
          <w:rFonts w:ascii="Tw Cen MT" w:hAnsi="Tw Cen MT" w:cs="Calibri"/>
          <w:sz w:val="22"/>
          <w:szCs w:val="22"/>
        </w:rPr>
        <w:t xml:space="preserve"> du </w:t>
      </w:r>
      <w:r w:rsidRPr="000F1A1C">
        <w:rPr>
          <w:rFonts w:ascii="Tw Cen MT" w:hAnsi="Tw Cen MT" w:cs="Calibri"/>
          <w:sz w:val="22"/>
          <w:szCs w:val="22"/>
        </w:rPr>
        <w:t>Projet</w:t>
      </w:r>
      <w:r w:rsidR="00780D23" w:rsidRPr="000F1A1C">
        <w:rPr>
          <w:rFonts w:ascii="Tw Cen MT" w:hAnsi="Tw Cen MT" w:cs="Calibri"/>
          <w:sz w:val="22"/>
          <w:szCs w:val="22"/>
        </w:rPr>
        <w:t xml:space="preserve"> RIMDIR</w:t>
      </w:r>
      <w:r w:rsidR="004D33B9" w:rsidRPr="000F1A1C">
        <w:rPr>
          <w:rFonts w:ascii="Tw Cen MT" w:hAnsi="Tw Cen MT" w:cs="Calibri"/>
          <w:sz w:val="22"/>
          <w:szCs w:val="22"/>
        </w:rPr>
        <w:t>, faisant ressortir</w:t>
      </w:r>
      <w:r w:rsidR="006215E2" w:rsidRPr="000F1A1C">
        <w:rPr>
          <w:rFonts w:ascii="Tw Cen MT" w:hAnsi="Tw Cen MT" w:cs="Calibri"/>
          <w:sz w:val="22"/>
          <w:szCs w:val="22"/>
        </w:rPr>
        <w:t xml:space="preserve"> les </w:t>
      </w:r>
      <w:r w:rsidR="004D33B9" w:rsidRPr="000F1A1C">
        <w:rPr>
          <w:rFonts w:ascii="Tw Cen MT" w:hAnsi="Tw Cen MT" w:cs="Calibri"/>
          <w:sz w:val="22"/>
          <w:szCs w:val="22"/>
        </w:rPr>
        <w:t>progrès</w:t>
      </w:r>
      <w:r w:rsidR="006215E2" w:rsidRPr="000F1A1C">
        <w:rPr>
          <w:rFonts w:ascii="Tw Cen MT" w:hAnsi="Tw Cen MT" w:cs="Calibri"/>
          <w:sz w:val="22"/>
          <w:szCs w:val="22"/>
        </w:rPr>
        <w:t xml:space="preserve"> réalisés, les problèmes rencontrés</w:t>
      </w:r>
      <w:r w:rsidR="004D33B9" w:rsidRPr="000F1A1C">
        <w:rPr>
          <w:rFonts w:ascii="Tw Cen MT" w:hAnsi="Tw Cen MT" w:cs="Calibri"/>
          <w:sz w:val="22"/>
          <w:szCs w:val="22"/>
        </w:rPr>
        <w:t xml:space="preserve"> et risques potentiels</w:t>
      </w:r>
      <w:r w:rsidR="006215E2" w:rsidRPr="000F1A1C">
        <w:rPr>
          <w:rFonts w:ascii="Tw Cen MT" w:hAnsi="Tw Cen MT" w:cs="Calibri"/>
          <w:sz w:val="22"/>
          <w:szCs w:val="22"/>
        </w:rPr>
        <w:t xml:space="preserve"> et les ajustements proposés, au plus tard </w:t>
      </w:r>
      <w:r w:rsidRPr="000F1A1C">
        <w:rPr>
          <w:rFonts w:ascii="Tw Cen MT" w:hAnsi="Tw Cen MT" w:cs="Calibri"/>
          <w:sz w:val="22"/>
          <w:szCs w:val="22"/>
        </w:rPr>
        <w:lastRenderedPageBreak/>
        <w:t>1 mois</w:t>
      </w:r>
      <w:r w:rsidR="006215E2" w:rsidRPr="000F1A1C">
        <w:rPr>
          <w:rFonts w:ascii="Tw Cen MT" w:hAnsi="Tw Cen MT" w:cs="Calibri"/>
          <w:sz w:val="22"/>
          <w:szCs w:val="22"/>
        </w:rPr>
        <w:t xml:space="preserve"> après la fin de la période concernée</w:t>
      </w:r>
      <w:r w:rsidR="004D33B9" w:rsidRPr="000F1A1C">
        <w:rPr>
          <w:rFonts w:ascii="Tw Cen MT" w:hAnsi="Tw Cen MT" w:cs="Calibri"/>
          <w:sz w:val="22"/>
          <w:szCs w:val="22"/>
        </w:rPr>
        <w:t> </w:t>
      </w:r>
      <w:r w:rsidR="00776889" w:rsidRPr="000F1A1C">
        <w:rPr>
          <w:rFonts w:ascii="Tw Cen MT" w:hAnsi="Tw Cen MT" w:cs="Calibri"/>
          <w:sz w:val="22"/>
          <w:szCs w:val="22"/>
        </w:rPr>
        <w:t xml:space="preserve">– </w:t>
      </w:r>
      <w:r w:rsidR="00776889" w:rsidRPr="000F1A1C">
        <w:rPr>
          <w:rFonts w:ascii="Tw Cen MT" w:hAnsi="Tw Cen MT" w:cs="Calibri"/>
          <w:i/>
          <w:sz w:val="22"/>
          <w:szCs w:val="22"/>
        </w:rPr>
        <w:t>à l’achèvement de chaque semestre exécuté</w:t>
      </w:r>
      <w:r w:rsidR="00776889" w:rsidRPr="000F1A1C">
        <w:rPr>
          <w:rFonts w:ascii="Tw Cen MT" w:hAnsi="Tw Cen MT" w:cs="Calibri"/>
          <w:sz w:val="22"/>
          <w:szCs w:val="22"/>
        </w:rPr>
        <w:t xml:space="preserve"> </w:t>
      </w:r>
      <w:r w:rsidR="007E62B5">
        <w:rPr>
          <w:rFonts w:ascii="Tw Cen MT" w:hAnsi="Tw Cen MT" w:cs="Calibri"/>
          <w:sz w:val="22"/>
          <w:szCs w:val="22"/>
        </w:rPr>
        <w:t>(et se substituant – à date</w:t>
      </w:r>
      <w:r w:rsidR="00837BD2">
        <w:rPr>
          <w:rFonts w:ascii="Tw Cen MT" w:hAnsi="Tw Cen MT" w:cs="Calibri"/>
          <w:sz w:val="22"/>
          <w:szCs w:val="22"/>
        </w:rPr>
        <w:t xml:space="preserve"> –</w:t>
      </w:r>
      <w:r w:rsidR="007E62B5">
        <w:rPr>
          <w:rFonts w:ascii="Tw Cen MT" w:hAnsi="Tw Cen MT" w:cs="Calibri"/>
          <w:sz w:val="22"/>
          <w:szCs w:val="22"/>
        </w:rPr>
        <w:t xml:space="preserve"> au rapport trimestriel)</w:t>
      </w:r>
      <w:r w:rsidR="00886427">
        <w:rPr>
          <w:rFonts w:ascii="Tw Cen MT" w:hAnsi="Tw Cen MT" w:cs="Calibri"/>
          <w:sz w:val="22"/>
          <w:szCs w:val="22"/>
        </w:rPr>
        <w:t xml:space="preserve"> </w:t>
      </w:r>
      <w:r w:rsidR="004D33B9" w:rsidRPr="000F1A1C">
        <w:rPr>
          <w:rFonts w:ascii="Tw Cen MT" w:hAnsi="Tw Cen MT" w:cs="Calibri"/>
          <w:sz w:val="22"/>
          <w:szCs w:val="22"/>
        </w:rPr>
        <w:t>;</w:t>
      </w:r>
    </w:p>
    <w:p w14:paraId="47AC1610" w14:textId="00163A13" w:rsidR="00C879E0" w:rsidRPr="000F1A1C" w:rsidRDefault="00C879E0" w:rsidP="005F20E1">
      <w:pPr>
        <w:pStyle w:val="Default"/>
        <w:numPr>
          <w:ilvl w:val="1"/>
          <w:numId w:val="50"/>
        </w:numPr>
        <w:spacing w:after="27"/>
        <w:jc w:val="both"/>
        <w:rPr>
          <w:rFonts w:ascii="Tw Cen MT" w:hAnsi="Tw Cen MT" w:cs="Calibri"/>
          <w:sz w:val="22"/>
          <w:szCs w:val="22"/>
        </w:rPr>
      </w:pPr>
      <w:r>
        <w:rPr>
          <w:rFonts w:ascii="Tw Cen MT" w:hAnsi="Tw Cen MT" w:cs="Calibri"/>
          <w:sz w:val="22"/>
          <w:szCs w:val="22"/>
        </w:rPr>
        <w:t>ces deux rapports semestriels devront alimenter les rapports annuels respectifs préparés pour la DUE sur les phases 1 et 2 de RIMDIR</w:t>
      </w:r>
    </w:p>
    <w:p w14:paraId="4C485D96" w14:textId="77777777" w:rsidR="00A70DE1" w:rsidRPr="000F1A1C" w:rsidRDefault="00A70DE1" w:rsidP="00761FAC">
      <w:pPr>
        <w:pStyle w:val="Default"/>
        <w:numPr>
          <w:ilvl w:val="0"/>
          <w:numId w:val="50"/>
        </w:numPr>
        <w:spacing w:after="27"/>
        <w:jc w:val="both"/>
        <w:rPr>
          <w:rFonts w:ascii="Tw Cen MT" w:hAnsi="Tw Cen MT" w:cs="Calibri"/>
          <w:sz w:val="22"/>
          <w:szCs w:val="22"/>
        </w:rPr>
      </w:pPr>
      <w:r w:rsidRPr="000F1A1C">
        <w:rPr>
          <w:rFonts w:ascii="Tw Cen MT" w:hAnsi="Tw Cen MT" w:cs="Calibri"/>
          <w:sz w:val="22"/>
          <w:szCs w:val="22"/>
        </w:rPr>
        <w:t>les comptes rendus des réunions des PTFs et des différents comités </w:t>
      </w:r>
      <w:r w:rsidR="00780D23" w:rsidRPr="000F1A1C">
        <w:rPr>
          <w:rFonts w:ascii="Tw Cen MT" w:hAnsi="Tw Cen MT" w:cs="Calibri"/>
          <w:sz w:val="22"/>
          <w:szCs w:val="22"/>
        </w:rPr>
        <w:t xml:space="preserve">(réunions de suivi, comités de pilotage, CR de mission  etc.) </w:t>
      </w:r>
      <w:r w:rsidRPr="000F1A1C">
        <w:rPr>
          <w:rFonts w:ascii="Tw Cen MT" w:hAnsi="Tw Cen MT" w:cs="Calibri"/>
          <w:sz w:val="22"/>
          <w:szCs w:val="22"/>
        </w:rPr>
        <w:t>;</w:t>
      </w:r>
    </w:p>
    <w:p w14:paraId="6F2D4E96" w14:textId="1795BA1D" w:rsidR="000853F8" w:rsidRPr="000F1A1C" w:rsidRDefault="00886427" w:rsidP="00761FAC">
      <w:pPr>
        <w:pStyle w:val="Default"/>
        <w:numPr>
          <w:ilvl w:val="0"/>
          <w:numId w:val="50"/>
        </w:numPr>
        <w:spacing w:after="27"/>
        <w:jc w:val="both"/>
        <w:rPr>
          <w:rFonts w:ascii="Tw Cen MT" w:hAnsi="Tw Cen MT" w:cs="Calibri"/>
          <w:sz w:val="22"/>
          <w:szCs w:val="22"/>
        </w:rPr>
      </w:pPr>
      <w:r w:rsidRPr="00A950D3">
        <w:rPr>
          <w:rFonts w:ascii="Tw Cen MT" w:hAnsi="Tw Cen MT" w:cs="Calibri"/>
          <w:sz w:val="22"/>
          <w:szCs w:val="22"/>
        </w:rPr>
        <w:t>u</w:t>
      </w:r>
      <w:r w:rsidR="000853F8" w:rsidRPr="000F1A1C">
        <w:rPr>
          <w:rFonts w:ascii="Tw Cen MT" w:hAnsi="Tw Cen MT" w:cs="Calibri"/>
          <w:sz w:val="22"/>
          <w:szCs w:val="22"/>
        </w:rPr>
        <w:t>ne note sectorielle annuelle sur le secteur de l’é</w:t>
      </w:r>
      <w:r w:rsidR="00780D23" w:rsidRPr="000F1A1C">
        <w:rPr>
          <w:rFonts w:ascii="Tw Cen MT" w:hAnsi="Tw Cen MT" w:cs="Calibri"/>
          <w:sz w:val="22"/>
          <w:szCs w:val="22"/>
        </w:rPr>
        <w:t>nergie (modèle agence AFD)</w:t>
      </w:r>
      <w:r w:rsidR="000853F8" w:rsidRPr="000F1A1C">
        <w:rPr>
          <w:rFonts w:ascii="Tw Cen MT" w:hAnsi="Tw Cen MT" w:cs="Calibri"/>
          <w:sz w:val="22"/>
          <w:szCs w:val="22"/>
        </w:rPr>
        <w:t>, présentant entre autres les différentes réalisations du secteur pendant l’année</w:t>
      </w:r>
      <w:r w:rsidR="001B45E0" w:rsidRPr="000F1A1C">
        <w:rPr>
          <w:rFonts w:ascii="Tw Cen MT" w:hAnsi="Tw Cen MT" w:cs="Calibri"/>
          <w:sz w:val="22"/>
          <w:szCs w:val="22"/>
        </w:rPr>
        <w:t xml:space="preserve"> écoulée</w:t>
      </w:r>
      <w:r w:rsidR="000853F8" w:rsidRPr="000F1A1C">
        <w:rPr>
          <w:rFonts w:ascii="Tw Cen MT" w:hAnsi="Tw Cen MT" w:cs="Calibri"/>
          <w:sz w:val="22"/>
          <w:szCs w:val="22"/>
        </w:rPr>
        <w:t xml:space="preserve"> (infrastructures et évolutions institutionnelles), les différents projets des PTF dans le secteur et leurs réalisations </w:t>
      </w:r>
      <w:r w:rsidR="001B45E0" w:rsidRPr="000F1A1C">
        <w:rPr>
          <w:rFonts w:ascii="Tw Cen MT" w:hAnsi="Tw Cen MT" w:cs="Calibri"/>
          <w:sz w:val="22"/>
          <w:szCs w:val="22"/>
        </w:rPr>
        <w:t xml:space="preserve">ainsi que </w:t>
      </w:r>
      <w:r w:rsidR="000853F8" w:rsidRPr="000F1A1C">
        <w:rPr>
          <w:rFonts w:ascii="Tw Cen MT" w:hAnsi="Tw Cen MT" w:cs="Calibri"/>
          <w:sz w:val="22"/>
          <w:szCs w:val="22"/>
        </w:rPr>
        <w:t xml:space="preserve"> les études</w:t>
      </w:r>
      <w:r w:rsidR="001B45E0" w:rsidRPr="000F1A1C">
        <w:rPr>
          <w:rFonts w:ascii="Tw Cen MT" w:hAnsi="Tw Cen MT" w:cs="Calibri"/>
          <w:sz w:val="22"/>
          <w:szCs w:val="22"/>
        </w:rPr>
        <w:t xml:space="preserve"> menée</w:t>
      </w:r>
      <w:r w:rsidR="00780D23" w:rsidRPr="000F1A1C">
        <w:rPr>
          <w:rFonts w:ascii="Tw Cen MT" w:hAnsi="Tw Cen MT" w:cs="Calibri"/>
          <w:sz w:val="22"/>
          <w:szCs w:val="22"/>
        </w:rPr>
        <w:t>s</w:t>
      </w:r>
      <w:r w:rsidR="001B45E0" w:rsidRPr="000F1A1C">
        <w:rPr>
          <w:rFonts w:ascii="Tw Cen MT" w:hAnsi="Tw Cen MT" w:cs="Calibri"/>
          <w:sz w:val="22"/>
          <w:szCs w:val="22"/>
        </w:rPr>
        <w:t xml:space="preserve"> dans le secteur.</w:t>
      </w:r>
    </w:p>
    <w:p w14:paraId="26D9B63F" w14:textId="356DA04C" w:rsidR="006215E2" w:rsidRPr="000F1A1C" w:rsidRDefault="00851981" w:rsidP="00232DE9">
      <w:pPr>
        <w:tabs>
          <w:tab w:val="left" w:pos="3872"/>
        </w:tabs>
        <w:jc w:val="both"/>
        <w:rPr>
          <w:rFonts w:ascii="Calibri" w:hAnsi="Calibri" w:cs="Calibri"/>
          <w:sz w:val="22"/>
          <w:szCs w:val="22"/>
        </w:rPr>
      </w:pPr>
      <w:r>
        <w:rPr>
          <w:rFonts w:ascii="Calibri" w:hAnsi="Calibri" w:cs="Calibri"/>
          <w:sz w:val="22"/>
          <w:szCs w:val="22"/>
        </w:rPr>
        <w:tab/>
      </w:r>
    </w:p>
    <w:p w14:paraId="2DEB8092" w14:textId="511033E0" w:rsidR="00E46D41" w:rsidRPr="000F1A1C" w:rsidRDefault="0008392A" w:rsidP="000F1A1C">
      <w:pPr>
        <w:pStyle w:val="Titre1"/>
        <w:rPr>
          <w:lang w:eastAsia="en-US"/>
        </w:rPr>
      </w:pPr>
      <w:r w:rsidRPr="00CC247C">
        <w:rPr>
          <w:lang w:eastAsia="en-US"/>
        </w:rPr>
        <w:t>R</w:t>
      </w:r>
      <w:r>
        <w:rPr>
          <w:lang w:eastAsia="en-US"/>
        </w:rPr>
        <w:t>elations contractuelles et délais d’intervention</w:t>
      </w:r>
      <w:r w:rsidR="005017F1" w:rsidRPr="000F1A1C">
        <w:rPr>
          <w:b w:val="0"/>
          <w:lang w:eastAsia="en-US"/>
        </w:rPr>
        <w:t xml:space="preserve"> </w:t>
      </w:r>
    </w:p>
    <w:p w14:paraId="513CEDD8" w14:textId="3B51AAC6" w:rsidR="00AF2770" w:rsidRPr="000F1A1C" w:rsidRDefault="000838ED" w:rsidP="000838ED">
      <w:pPr>
        <w:jc w:val="both"/>
        <w:rPr>
          <w:rFonts w:ascii="Tw Cen MT" w:hAnsi="Tw Cen MT" w:cs="Calibri"/>
          <w:sz w:val="22"/>
          <w:szCs w:val="22"/>
        </w:rPr>
      </w:pPr>
      <w:r w:rsidRPr="000F1A1C">
        <w:rPr>
          <w:rFonts w:ascii="Tw Cen MT" w:hAnsi="Tw Cen MT" w:cs="Calibri"/>
          <w:sz w:val="22"/>
          <w:szCs w:val="22"/>
        </w:rPr>
        <w:t xml:space="preserve">Il sera conclu pour une durée </w:t>
      </w:r>
      <w:r w:rsidR="00380B93" w:rsidRPr="000F1A1C">
        <w:rPr>
          <w:rFonts w:ascii="Tw Cen MT" w:hAnsi="Tw Cen MT" w:cs="Calibri"/>
          <w:sz w:val="22"/>
          <w:szCs w:val="22"/>
        </w:rPr>
        <w:t xml:space="preserve">de </w:t>
      </w:r>
      <w:r w:rsidR="00AF2770" w:rsidRPr="000F1A1C">
        <w:rPr>
          <w:rFonts w:ascii="Tw Cen MT" w:hAnsi="Tw Cen MT" w:cs="Calibri"/>
          <w:sz w:val="22"/>
          <w:szCs w:val="22"/>
        </w:rPr>
        <w:t xml:space="preserve">2 </w:t>
      </w:r>
      <w:r w:rsidRPr="000F1A1C">
        <w:rPr>
          <w:rFonts w:ascii="Tw Cen MT" w:hAnsi="Tw Cen MT" w:cs="Calibri"/>
          <w:sz w:val="22"/>
          <w:szCs w:val="22"/>
        </w:rPr>
        <w:t>an</w:t>
      </w:r>
      <w:r w:rsidR="00AF2770" w:rsidRPr="000F1A1C">
        <w:rPr>
          <w:rFonts w:ascii="Tw Cen MT" w:hAnsi="Tw Cen MT" w:cs="Calibri"/>
          <w:sz w:val="22"/>
          <w:szCs w:val="22"/>
        </w:rPr>
        <w:t>s</w:t>
      </w:r>
      <w:r w:rsidRPr="000F1A1C">
        <w:rPr>
          <w:rFonts w:ascii="Tw Cen MT" w:hAnsi="Tw Cen MT" w:cs="Calibri"/>
          <w:sz w:val="22"/>
          <w:szCs w:val="22"/>
        </w:rPr>
        <w:t xml:space="preserve">, </w:t>
      </w:r>
      <w:r w:rsidR="000F1A1C">
        <w:rPr>
          <w:rFonts w:ascii="Tw Cen MT" w:hAnsi="Tw Cen MT" w:cs="Calibri"/>
          <w:sz w:val="22"/>
          <w:szCs w:val="22"/>
        </w:rPr>
        <w:t xml:space="preserve">éventuellement </w:t>
      </w:r>
      <w:r w:rsidRPr="000F1A1C">
        <w:rPr>
          <w:rFonts w:ascii="Tw Cen MT" w:hAnsi="Tw Cen MT" w:cs="Calibri"/>
          <w:sz w:val="22"/>
          <w:szCs w:val="22"/>
        </w:rPr>
        <w:t xml:space="preserve">renouvelable </w:t>
      </w:r>
      <w:r w:rsidR="00027A6F" w:rsidRPr="000F1A1C">
        <w:rPr>
          <w:rFonts w:ascii="Tw Cen MT" w:hAnsi="Tw Cen MT" w:cs="Calibri"/>
          <w:sz w:val="22"/>
          <w:szCs w:val="22"/>
        </w:rPr>
        <w:t>deux</w:t>
      </w:r>
      <w:r w:rsidRPr="000F1A1C">
        <w:rPr>
          <w:rFonts w:ascii="Tw Cen MT" w:hAnsi="Tw Cen MT" w:cs="Calibri"/>
          <w:sz w:val="22"/>
          <w:szCs w:val="22"/>
        </w:rPr>
        <w:t xml:space="preserve"> fois</w:t>
      </w:r>
      <w:r w:rsidR="00027A6F" w:rsidRPr="000F1A1C">
        <w:rPr>
          <w:rFonts w:ascii="Tw Cen MT" w:hAnsi="Tw Cen MT" w:cs="Calibri"/>
          <w:sz w:val="22"/>
          <w:szCs w:val="22"/>
        </w:rPr>
        <w:t xml:space="preserve"> pour un an</w:t>
      </w:r>
      <w:r w:rsidR="00E46D41" w:rsidRPr="000F1A1C">
        <w:rPr>
          <w:rFonts w:ascii="Tw Cen MT" w:hAnsi="Tw Cen MT" w:cs="Calibri"/>
          <w:sz w:val="22"/>
          <w:szCs w:val="22"/>
        </w:rPr>
        <w:t xml:space="preserve">, </w:t>
      </w:r>
      <w:r w:rsidR="00AF2770" w:rsidRPr="000F1A1C">
        <w:rPr>
          <w:rFonts w:ascii="Tw Cen MT" w:hAnsi="Tw Cen MT" w:cs="Calibri"/>
          <w:sz w:val="22"/>
          <w:szCs w:val="22"/>
        </w:rPr>
        <w:t xml:space="preserve">Le/la consultant.e travaillera au sein de l’agence AFD de Nouakchott, sous la supervision du </w:t>
      </w:r>
      <w:r w:rsidR="00E46D41" w:rsidRPr="000F1A1C">
        <w:rPr>
          <w:rFonts w:ascii="Tw Cen MT" w:hAnsi="Tw Cen MT" w:cs="Calibri"/>
          <w:sz w:val="22"/>
          <w:szCs w:val="22"/>
        </w:rPr>
        <w:t>D</w:t>
      </w:r>
      <w:r w:rsidR="00AF2770" w:rsidRPr="000F1A1C">
        <w:rPr>
          <w:rFonts w:ascii="Tw Cen MT" w:hAnsi="Tw Cen MT" w:cs="Calibri"/>
          <w:sz w:val="22"/>
          <w:szCs w:val="22"/>
        </w:rPr>
        <w:t xml:space="preserve">irecteur d’agence et du </w:t>
      </w:r>
      <w:r w:rsidR="00E46D41" w:rsidRPr="000F1A1C">
        <w:rPr>
          <w:rFonts w:ascii="Tw Cen MT" w:hAnsi="Tw Cen MT" w:cs="Calibri"/>
          <w:sz w:val="22"/>
          <w:szCs w:val="22"/>
        </w:rPr>
        <w:t>R</w:t>
      </w:r>
      <w:r w:rsidR="00AF2770" w:rsidRPr="000F1A1C">
        <w:rPr>
          <w:rFonts w:ascii="Tw Cen MT" w:hAnsi="Tw Cen MT" w:cs="Calibri"/>
          <w:sz w:val="22"/>
          <w:szCs w:val="22"/>
        </w:rPr>
        <w:t xml:space="preserve">esponsable du pôle infrastructures durables et en lien </w:t>
      </w:r>
      <w:r w:rsidR="00E46D41" w:rsidRPr="000F1A1C">
        <w:rPr>
          <w:rFonts w:ascii="Tw Cen MT" w:hAnsi="Tw Cen MT" w:cs="Calibri"/>
          <w:sz w:val="22"/>
          <w:szCs w:val="22"/>
        </w:rPr>
        <w:t xml:space="preserve">étroit </w:t>
      </w:r>
      <w:r w:rsidR="00AF2770" w:rsidRPr="000F1A1C">
        <w:rPr>
          <w:rFonts w:ascii="Tw Cen MT" w:hAnsi="Tw Cen MT" w:cs="Calibri"/>
          <w:sz w:val="22"/>
          <w:szCs w:val="22"/>
        </w:rPr>
        <w:t xml:space="preserve">avec l’équipe Projet </w:t>
      </w:r>
      <w:r w:rsidR="00590411">
        <w:rPr>
          <w:rFonts w:ascii="Tw Cen MT" w:hAnsi="Tw Cen MT" w:cs="Calibri"/>
          <w:sz w:val="22"/>
          <w:szCs w:val="22"/>
        </w:rPr>
        <w:t xml:space="preserve">Energie </w:t>
      </w:r>
      <w:r w:rsidR="00AF2770" w:rsidRPr="000F1A1C">
        <w:rPr>
          <w:rFonts w:ascii="Tw Cen MT" w:hAnsi="Tw Cen MT" w:cs="Calibri"/>
          <w:sz w:val="22"/>
          <w:szCs w:val="22"/>
        </w:rPr>
        <w:t xml:space="preserve">basée au siège de l’AFD à Paris. </w:t>
      </w:r>
    </w:p>
    <w:p w14:paraId="297D6790" w14:textId="77777777" w:rsidR="005A73E9" w:rsidRPr="000F1A1C" w:rsidRDefault="005A73E9" w:rsidP="000838ED">
      <w:pPr>
        <w:jc w:val="both"/>
        <w:rPr>
          <w:rFonts w:ascii="Tw Cen MT" w:hAnsi="Tw Cen MT" w:cs="Calibri"/>
          <w:sz w:val="12"/>
          <w:szCs w:val="22"/>
          <w:highlight w:val="green"/>
        </w:rPr>
      </w:pPr>
    </w:p>
    <w:p w14:paraId="18CB965E" w14:textId="21EEE1B5" w:rsidR="00E46D41" w:rsidRDefault="005A73E9" w:rsidP="00A950D3">
      <w:pPr>
        <w:jc w:val="both"/>
        <w:rPr>
          <w:rFonts w:ascii="Tw Cen MT" w:hAnsi="Tw Cen MT" w:cs="Calibri"/>
          <w:sz w:val="22"/>
          <w:szCs w:val="22"/>
        </w:rPr>
      </w:pPr>
      <w:r w:rsidRPr="000F1A1C">
        <w:rPr>
          <w:rFonts w:ascii="Tw Cen MT" w:hAnsi="Tw Cen MT" w:cs="Calibri"/>
          <w:sz w:val="22"/>
          <w:szCs w:val="22"/>
        </w:rPr>
        <w:t>L</w:t>
      </w:r>
      <w:r w:rsidR="00630082">
        <w:rPr>
          <w:rFonts w:ascii="Tw Cen MT" w:hAnsi="Tw Cen MT" w:cs="Calibri"/>
          <w:sz w:val="22"/>
          <w:szCs w:val="22"/>
        </w:rPr>
        <w:t>e nombre de jours</w:t>
      </w:r>
      <w:r w:rsidRPr="000F1A1C">
        <w:rPr>
          <w:rFonts w:ascii="Tw Cen MT" w:hAnsi="Tw Cen MT" w:cs="Calibri"/>
          <w:sz w:val="22"/>
          <w:szCs w:val="22"/>
        </w:rPr>
        <w:t xml:space="preserve"> </w:t>
      </w:r>
      <w:r w:rsidR="007E62B5">
        <w:rPr>
          <w:rFonts w:ascii="Tw Cen MT" w:hAnsi="Tw Cen MT" w:cs="Calibri"/>
          <w:sz w:val="22"/>
          <w:szCs w:val="22"/>
        </w:rPr>
        <w:t>travaillé</w:t>
      </w:r>
      <w:r w:rsidR="00630082">
        <w:rPr>
          <w:rFonts w:ascii="Tw Cen MT" w:hAnsi="Tw Cen MT" w:cs="Calibri"/>
          <w:sz w:val="22"/>
          <w:szCs w:val="22"/>
        </w:rPr>
        <w:t>s</w:t>
      </w:r>
      <w:r w:rsidR="007E62B5">
        <w:rPr>
          <w:rFonts w:ascii="Tw Cen MT" w:hAnsi="Tw Cen MT" w:cs="Calibri"/>
          <w:sz w:val="22"/>
          <w:szCs w:val="22"/>
        </w:rPr>
        <w:t xml:space="preserve"> </w:t>
      </w:r>
      <w:r w:rsidR="00AF2770" w:rsidRPr="000F1A1C">
        <w:rPr>
          <w:rFonts w:ascii="Tw Cen MT" w:hAnsi="Tw Cen MT" w:cs="Calibri"/>
          <w:sz w:val="22"/>
          <w:szCs w:val="22"/>
        </w:rPr>
        <w:t>est estimé à</w:t>
      </w:r>
      <w:r w:rsidR="000F62CD">
        <w:rPr>
          <w:rFonts w:ascii="Tw Cen MT" w:hAnsi="Tw Cen MT" w:cs="Calibri"/>
          <w:sz w:val="22"/>
          <w:szCs w:val="22"/>
        </w:rPr>
        <w:t xml:space="preserve"> </w:t>
      </w:r>
      <w:r w:rsidR="007A721C">
        <w:rPr>
          <w:rFonts w:ascii="Tw Cen MT" w:hAnsi="Tw Cen MT" w:cs="Calibri"/>
          <w:sz w:val="22"/>
          <w:szCs w:val="22"/>
        </w:rPr>
        <w:t>210</w:t>
      </w:r>
      <w:r w:rsidR="000F62CD">
        <w:rPr>
          <w:rFonts w:ascii="Tw Cen MT" w:hAnsi="Tw Cen MT" w:cs="Calibri"/>
          <w:sz w:val="22"/>
          <w:szCs w:val="22"/>
        </w:rPr>
        <w:t xml:space="preserve"> </w:t>
      </w:r>
      <w:r w:rsidRPr="000F1A1C">
        <w:rPr>
          <w:rFonts w:ascii="Tw Cen MT" w:hAnsi="Tw Cen MT" w:cs="Calibri"/>
          <w:sz w:val="22"/>
          <w:szCs w:val="22"/>
        </w:rPr>
        <w:t>jours par an</w:t>
      </w:r>
      <w:r w:rsidR="00AF2770" w:rsidRPr="000F1A1C">
        <w:rPr>
          <w:rFonts w:ascii="Tw Cen MT" w:hAnsi="Tw Cen MT" w:cs="Calibri"/>
          <w:sz w:val="22"/>
          <w:szCs w:val="22"/>
        </w:rPr>
        <w:t>,</w:t>
      </w:r>
      <w:r w:rsidR="000F62CD">
        <w:rPr>
          <w:rFonts w:ascii="Tw Cen MT" w:hAnsi="Tw Cen MT" w:cs="Calibri"/>
          <w:sz w:val="22"/>
          <w:szCs w:val="22"/>
        </w:rPr>
        <w:t xml:space="preserve"> </w:t>
      </w:r>
      <w:r w:rsidR="00232DE9">
        <w:rPr>
          <w:rFonts w:ascii="Tw Cen MT" w:hAnsi="Tw Cen MT" w:cs="Calibri"/>
          <w:sz w:val="22"/>
          <w:szCs w:val="22"/>
        </w:rPr>
        <w:t xml:space="preserve">les prestations commenceront idéalement courant janvier, toutefois pour des raisons administratives le début pourrait intervenir plus tard. </w:t>
      </w:r>
    </w:p>
    <w:p w14:paraId="5B0A6A86" w14:textId="47332461" w:rsidR="000F62CD" w:rsidRPr="000F1A1C" w:rsidRDefault="000F62CD" w:rsidP="00A950D3">
      <w:pPr>
        <w:jc w:val="both"/>
        <w:rPr>
          <w:rFonts w:ascii="Tw Cen MT" w:hAnsi="Tw Cen MT" w:cs="Calibri"/>
          <w:sz w:val="22"/>
          <w:szCs w:val="22"/>
        </w:rPr>
      </w:pPr>
      <w:r>
        <w:rPr>
          <w:rFonts w:ascii="Tw Cen MT" w:hAnsi="Tw Cen MT" w:cs="Calibri"/>
          <w:sz w:val="22"/>
          <w:szCs w:val="22"/>
        </w:rPr>
        <w:t xml:space="preserve">Sera prévu pour le bon déroulé des prestations un aller-retour France-Nouakchott par an. </w:t>
      </w:r>
    </w:p>
    <w:p w14:paraId="0FB1E411" w14:textId="77777777" w:rsidR="006215E2" w:rsidRPr="000F1A1C" w:rsidRDefault="006215E2" w:rsidP="006215E2">
      <w:pPr>
        <w:jc w:val="both"/>
        <w:rPr>
          <w:rFonts w:ascii="Calibri" w:hAnsi="Calibri" w:cs="Calibri"/>
          <w:sz w:val="22"/>
          <w:szCs w:val="22"/>
        </w:rPr>
      </w:pPr>
    </w:p>
    <w:p w14:paraId="36871800" w14:textId="17937B28" w:rsidR="006215E2" w:rsidRPr="000F1A1C" w:rsidRDefault="005017F1" w:rsidP="000F1A1C">
      <w:pPr>
        <w:pStyle w:val="Titre1"/>
        <w:rPr>
          <w:b w:val="0"/>
          <w:lang w:eastAsia="en-US"/>
        </w:rPr>
      </w:pPr>
      <w:r w:rsidRPr="000F1A1C">
        <w:rPr>
          <w:lang w:eastAsia="en-US"/>
        </w:rPr>
        <w:t>M</w:t>
      </w:r>
      <w:r w:rsidR="0008392A">
        <w:rPr>
          <w:lang w:eastAsia="en-US"/>
        </w:rPr>
        <w:t>oyens mis à disposition</w:t>
      </w:r>
    </w:p>
    <w:p w14:paraId="728B3E34" w14:textId="52DF8A1B" w:rsidR="00477FCB" w:rsidRDefault="00477FCB" w:rsidP="000F1A1C">
      <w:pPr>
        <w:autoSpaceDE w:val="0"/>
        <w:autoSpaceDN w:val="0"/>
        <w:adjustRightInd w:val="0"/>
        <w:jc w:val="both"/>
        <w:rPr>
          <w:rFonts w:ascii="Tw Cen MT" w:hAnsi="Tw Cen MT" w:cs="Calibri"/>
          <w:color w:val="000000"/>
          <w:sz w:val="22"/>
          <w:szCs w:val="22"/>
        </w:rPr>
      </w:pPr>
      <w:r w:rsidRPr="000F1A1C">
        <w:rPr>
          <w:rFonts w:ascii="Tw Cen MT" w:hAnsi="Tw Cen MT" w:cs="Calibri"/>
          <w:color w:val="000000"/>
          <w:sz w:val="22"/>
          <w:szCs w:val="22"/>
        </w:rPr>
        <w:t>La mission sera basée à Nouakchott. Le</w:t>
      </w:r>
      <w:r w:rsidR="00B64209" w:rsidRPr="000F1A1C">
        <w:rPr>
          <w:rFonts w:ascii="Tw Cen MT" w:hAnsi="Tw Cen MT" w:cs="Calibri"/>
          <w:color w:val="000000"/>
          <w:sz w:val="22"/>
          <w:szCs w:val="22"/>
        </w:rPr>
        <w:t>/la</w:t>
      </w:r>
      <w:r w:rsidRPr="000F1A1C">
        <w:rPr>
          <w:rFonts w:ascii="Tw Cen MT" w:hAnsi="Tw Cen MT" w:cs="Calibri"/>
          <w:color w:val="000000"/>
          <w:sz w:val="22"/>
          <w:szCs w:val="22"/>
        </w:rPr>
        <w:t xml:space="preserve"> consultant</w:t>
      </w:r>
      <w:r w:rsidR="00B64209" w:rsidRPr="000F1A1C">
        <w:rPr>
          <w:rFonts w:ascii="Tw Cen MT" w:hAnsi="Tw Cen MT" w:cs="Calibri"/>
          <w:color w:val="000000"/>
          <w:sz w:val="22"/>
          <w:szCs w:val="22"/>
        </w:rPr>
        <w:t>.e</w:t>
      </w:r>
      <w:r w:rsidRPr="000F1A1C">
        <w:rPr>
          <w:rFonts w:ascii="Tw Cen MT" w:hAnsi="Tw Cen MT" w:cs="Calibri"/>
          <w:color w:val="000000"/>
          <w:sz w:val="22"/>
          <w:szCs w:val="22"/>
        </w:rPr>
        <w:t xml:space="preserve"> sera intégré à l’équipe de l’AFD, dans ses bureaux à Nouakchott. Il disposera d’un bureau, de l’équipement informatique nécessaire pour la réalisation de sa mission, d’une adresse email (</w:t>
      </w:r>
      <w:r w:rsidR="00194FF9">
        <w:rPr>
          <w:rFonts w:ascii="Tw Cen MT" w:hAnsi="Tw Cen MT" w:cs="Calibri"/>
          <w:color w:val="000000"/>
          <w:sz w:val="22"/>
          <w:szCs w:val="22"/>
        </w:rPr>
        <w:t>ext.</w:t>
      </w:r>
      <w:r w:rsidRPr="000F1A1C">
        <w:rPr>
          <w:rFonts w:ascii="Tw Cen MT" w:hAnsi="Tw Cen MT" w:cs="Calibri"/>
          <w:color w:val="000000"/>
          <w:sz w:val="22"/>
          <w:szCs w:val="22"/>
        </w:rPr>
        <w:t xml:space="preserve">afd.fr), d’un téléphone fixe au bureau et des facilités de déplacement disponibles à l’Agence pour les déplacements professionnels et les </w:t>
      </w:r>
      <w:r w:rsidR="0008392A">
        <w:rPr>
          <w:rFonts w:ascii="Tw Cen MT" w:hAnsi="Tw Cen MT" w:cs="Calibri"/>
          <w:color w:val="000000"/>
          <w:sz w:val="22"/>
          <w:szCs w:val="22"/>
        </w:rPr>
        <w:t xml:space="preserve">A/R </w:t>
      </w:r>
      <w:r w:rsidRPr="000F1A1C">
        <w:rPr>
          <w:rFonts w:ascii="Tw Cen MT" w:hAnsi="Tw Cen MT" w:cs="Calibri"/>
          <w:color w:val="000000"/>
          <w:sz w:val="22"/>
          <w:szCs w:val="22"/>
        </w:rPr>
        <w:t>aéroport si nécessaire.</w:t>
      </w:r>
    </w:p>
    <w:p w14:paraId="62DE446E" w14:textId="77777777" w:rsidR="005F2C9D" w:rsidRPr="000F1A1C" w:rsidRDefault="005F2C9D" w:rsidP="000F1A1C">
      <w:pPr>
        <w:autoSpaceDE w:val="0"/>
        <w:autoSpaceDN w:val="0"/>
        <w:adjustRightInd w:val="0"/>
        <w:jc w:val="both"/>
        <w:rPr>
          <w:rFonts w:ascii="Tw Cen MT" w:hAnsi="Tw Cen MT" w:cs="Calibri"/>
          <w:color w:val="000000"/>
          <w:sz w:val="14"/>
          <w:szCs w:val="22"/>
        </w:rPr>
      </w:pPr>
    </w:p>
    <w:p w14:paraId="44B2C8F0" w14:textId="4630C37F" w:rsidR="00477FCB" w:rsidRDefault="00477FCB" w:rsidP="000F1A1C">
      <w:pPr>
        <w:autoSpaceDE w:val="0"/>
        <w:autoSpaceDN w:val="0"/>
        <w:adjustRightInd w:val="0"/>
        <w:jc w:val="both"/>
        <w:rPr>
          <w:rFonts w:ascii="Tw Cen MT" w:hAnsi="Tw Cen MT" w:cs="Calibri"/>
          <w:color w:val="000000"/>
          <w:sz w:val="22"/>
          <w:szCs w:val="22"/>
        </w:rPr>
      </w:pPr>
      <w:r w:rsidRPr="000F1A1C">
        <w:rPr>
          <w:rFonts w:ascii="Tw Cen MT" w:hAnsi="Tw Cen MT" w:cs="Calibri"/>
          <w:color w:val="000000"/>
          <w:sz w:val="22"/>
          <w:szCs w:val="22"/>
        </w:rPr>
        <w:t>Les frais de déplacement internationaux pour l’affectation à Nouakchott et le retour de fin de mission</w:t>
      </w:r>
      <w:r w:rsidR="00F7558A">
        <w:rPr>
          <w:rFonts w:ascii="Tw Cen MT" w:hAnsi="Tw Cen MT" w:cs="Calibri"/>
          <w:color w:val="000000"/>
          <w:sz w:val="22"/>
          <w:szCs w:val="22"/>
        </w:rPr>
        <w:t>, plus un aller-retour par an,</w:t>
      </w:r>
      <w:r w:rsidRPr="000F1A1C">
        <w:rPr>
          <w:rFonts w:ascii="Tw Cen MT" w:hAnsi="Tw Cen MT" w:cs="Calibri"/>
          <w:color w:val="000000"/>
          <w:sz w:val="22"/>
          <w:szCs w:val="22"/>
        </w:rPr>
        <w:t xml:space="preserve"> ainsi que les frais de visa éventuels sont pris en charge par l’AFD, </w:t>
      </w:r>
      <w:r w:rsidR="00630082" w:rsidRPr="00CC247C">
        <w:rPr>
          <w:rFonts w:ascii="Tw Cen MT" w:hAnsi="Tw Cen MT" w:cs="Calibri"/>
          <w:color w:val="000000"/>
          <w:sz w:val="22"/>
          <w:szCs w:val="22"/>
        </w:rPr>
        <w:t xml:space="preserve">et </w:t>
      </w:r>
      <w:r w:rsidRPr="000F1A1C">
        <w:rPr>
          <w:rFonts w:ascii="Tw Cen MT" w:hAnsi="Tw Cen MT" w:cs="Calibri"/>
          <w:color w:val="000000"/>
          <w:sz w:val="22"/>
          <w:szCs w:val="22"/>
        </w:rPr>
        <w:t>remboursable</w:t>
      </w:r>
      <w:r w:rsidR="00630082" w:rsidRPr="00CC247C">
        <w:rPr>
          <w:rFonts w:ascii="Tw Cen MT" w:hAnsi="Tw Cen MT" w:cs="Calibri"/>
          <w:color w:val="000000"/>
          <w:sz w:val="22"/>
          <w:szCs w:val="22"/>
        </w:rPr>
        <w:t>s</w:t>
      </w:r>
      <w:r w:rsidRPr="000F1A1C">
        <w:rPr>
          <w:rFonts w:ascii="Tw Cen MT" w:hAnsi="Tw Cen MT" w:cs="Calibri"/>
          <w:color w:val="000000"/>
          <w:sz w:val="22"/>
          <w:szCs w:val="22"/>
        </w:rPr>
        <w:t xml:space="preserve"> sur justificatifs.</w:t>
      </w:r>
      <w:r w:rsidR="005F2C9D">
        <w:rPr>
          <w:rFonts w:ascii="Tw Cen MT" w:hAnsi="Tw Cen MT" w:cs="Calibri"/>
          <w:color w:val="000000"/>
          <w:sz w:val="22"/>
          <w:szCs w:val="22"/>
        </w:rPr>
        <w:t xml:space="preserve"> Il en sera de même pour l</w:t>
      </w:r>
      <w:r w:rsidRPr="000F1A1C">
        <w:rPr>
          <w:rFonts w:ascii="Tw Cen MT" w:hAnsi="Tw Cen MT" w:cs="Calibri"/>
          <w:color w:val="000000"/>
          <w:sz w:val="22"/>
          <w:szCs w:val="22"/>
        </w:rPr>
        <w:t xml:space="preserve">es frais de déplacement à l’intérieur du pays, en Mauritanie, pour les missions professionnelles </w:t>
      </w:r>
      <w:r w:rsidR="005231E3">
        <w:rPr>
          <w:rFonts w:ascii="Tw Cen MT" w:hAnsi="Tw Cen MT" w:cs="Calibri"/>
          <w:color w:val="000000"/>
          <w:sz w:val="22"/>
          <w:szCs w:val="22"/>
        </w:rPr>
        <w:t>: un</w:t>
      </w:r>
      <w:r w:rsidR="004643C9">
        <w:rPr>
          <w:rFonts w:ascii="Tw Cen MT" w:hAnsi="Tw Cen MT" w:cs="Calibri"/>
          <w:color w:val="000000"/>
          <w:sz w:val="22"/>
          <w:szCs w:val="22"/>
        </w:rPr>
        <w:t xml:space="preserve"> maximum de </w:t>
      </w:r>
      <w:r w:rsidR="005231E3">
        <w:rPr>
          <w:rFonts w:ascii="Tw Cen MT" w:hAnsi="Tw Cen MT" w:cs="Calibri"/>
          <w:color w:val="000000"/>
          <w:sz w:val="22"/>
          <w:szCs w:val="22"/>
        </w:rPr>
        <w:t xml:space="preserve">20HJ de mission serait </w:t>
      </w:r>
      <w:r w:rsidR="004643C9">
        <w:rPr>
          <w:rFonts w:ascii="Tw Cen MT" w:hAnsi="Tw Cen MT" w:cs="Calibri"/>
          <w:color w:val="000000"/>
          <w:sz w:val="22"/>
          <w:szCs w:val="22"/>
        </w:rPr>
        <w:t>à prévoir par an.</w:t>
      </w:r>
    </w:p>
    <w:p w14:paraId="19D37296" w14:textId="77777777" w:rsidR="004643C9" w:rsidRPr="000F1A1C" w:rsidRDefault="004643C9" w:rsidP="000F1A1C">
      <w:pPr>
        <w:autoSpaceDE w:val="0"/>
        <w:autoSpaceDN w:val="0"/>
        <w:adjustRightInd w:val="0"/>
        <w:jc w:val="both"/>
        <w:rPr>
          <w:rFonts w:ascii="Tw Cen MT" w:hAnsi="Tw Cen MT" w:cs="Calibri"/>
          <w:color w:val="000000"/>
          <w:sz w:val="14"/>
          <w:szCs w:val="22"/>
        </w:rPr>
      </w:pPr>
    </w:p>
    <w:p w14:paraId="5FDF9E56" w14:textId="77777777" w:rsidR="00477FCB" w:rsidRDefault="00477FCB" w:rsidP="000F1A1C">
      <w:pPr>
        <w:autoSpaceDE w:val="0"/>
        <w:autoSpaceDN w:val="0"/>
        <w:adjustRightInd w:val="0"/>
        <w:jc w:val="both"/>
        <w:rPr>
          <w:rFonts w:ascii="Tw Cen MT" w:hAnsi="Tw Cen MT" w:cs="Calibri"/>
          <w:color w:val="000000"/>
          <w:sz w:val="22"/>
          <w:szCs w:val="22"/>
        </w:rPr>
      </w:pPr>
      <w:r w:rsidRPr="000F1A1C">
        <w:rPr>
          <w:rFonts w:ascii="Tw Cen MT" w:hAnsi="Tw Cen MT" w:cs="Calibri"/>
          <w:color w:val="000000"/>
          <w:sz w:val="22"/>
          <w:szCs w:val="22"/>
        </w:rPr>
        <w:t>Les frais de communication, hors téléphone fixe du bureau, les frais de logement sont à la charge du consultant et non pris en charge par l’AFD.</w:t>
      </w:r>
    </w:p>
    <w:p w14:paraId="20CA2BC6" w14:textId="77777777" w:rsidR="005F2C9D" w:rsidRPr="000F1A1C" w:rsidRDefault="005F2C9D" w:rsidP="000F1A1C">
      <w:pPr>
        <w:autoSpaceDE w:val="0"/>
        <w:autoSpaceDN w:val="0"/>
        <w:adjustRightInd w:val="0"/>
        <w:jc w:val="both"/>
        <w:rPr>
          <w:rFonts w:ascii="Tw Cen MT" w:hAnsi="Tw Cen MT" w:cs="Calibri"/>
          <w:color w:val="000000"/>
          <w:sz w:val="14"/>
          <w:szCs w:val="22"/>
        </w:rPr>
      </w:pPr>
    </w:p>
    <w:p w14:paraId="06FE1F4E" w14:textId="77777777" w:rsidR="00477FCB" w:rsidRPr="000F1A1C" w:rsidRDefault="00477FCB" w:rsidP="000F1A1C">
      <w:pPr>
        <w:autoSpaceDE w:val="0"/>
        <w:autoSpaceDN w:val="0"/>
        <w:adjustRightInd w:val="0"/>
        <w:jc w:val="both"/>
        <w:rPr>
          <w:rFonts w:ascii="Tw Cen MT" w:hAnsi="Tw Cen MT" w:cs="Calibri"/>
          <w:color w:val="000000"/>
          <w:sz w:val="22"/>
          <w:szCs w:val="22"/>
        </w:rPr>
      </w:pPr>
      <w:r w:rsidRPr="000F1A1C">
        <w:rPr>
          <w:rFonts w:ascii="Tw Cen MT" w:hAnsi="Tw Cen MT" w:cs="Calibri"/>
          <w:color w:val="000000"/>
          <w:sz w:val="22"/>
          <w:szCs w:val="22"/>
        </w:rPr>
        <w:t>Les charges patronales et sociales (cotisations retraite, chômage, sécurité sociale, mutuelle, etc.) et impôts sont à prévoir par le consultant, ainsi qu’une assurance rapatriement.</w:t>
      </w:r>
    </w:p>
    <w:p w14:paraId="5E0394AD" w14:textId="77777777" w:rsidR="00477FCB" w:rsidRPr="000F1A1C" w:rsidRDefault="00477FCB" w:rsidP="006215E2">
      <w:pPr>
        <w:jc w:val="both"/>
        <w:rPr>
          <w:rFonts w:ascii="Tw Cen MT" w:hAnsi="Tw Cen MT" w:cs="Calibri"/>
          <w:sz w:val="14"/>
          <w:szCs w:val="22"/>
        </w:rPr>
      </w:pPr>
    </w:p>
    <w:p w14:paraId="4A6BAA88" w14:textId="77777777" w:rsidR="00AF2770" w:rsidRPr="000F1A1C" w:rsidRDefault="00AF2770" w:rsidP="00AF2770">
      <w:pPr>
        <w:jc w:val="both"/>
        <w:rPr>
          <w:rFonts w:ascii="Tw Cen MT" w:hAnsi="Tw Cen MT" w:cs="Calibri"/>
          <w:sz w:val="22"/>
          <w:szCs w:val="22"/>
        </w:rPr>
      </w:pPr>
      <w:r w:rsidRPr="000F1A1C">
        <w:rPr>
          <w:rFonts w:ascii="Tw Cen MT" w:hAnsi="Tw Cen MT" w:cs="Calibri"/>
          <w:sz w:val="22"/>
          <w:szCs w:val="22"/>
        </w:rPr>
        <w:t>Bien qu’il n’y ait pas de condition de nationalité, le/la Consultant.e est responsable de s’assurer qu’il dispose de toutes les autorisations requises pour résider et travailler légalement en Mauritanie pendant toute la durée de sa mission.</w:t>
      </w:r>
    </w:p>
    <w:p w14:paraId="1F79FCA6" w14:textId="77777777" w:rsidR="00477FCB" w:rsidRPr="000F1A1C" w:rsidRDefault="00477FCB" w:rsidP="006215E2">
      <w:pPr>
        <w:jc w:val="both"/>
        <w:rPr>
          <w:rFonts w:ascii="Tw Cen MT" w:hAnsi="Tw Cen MT" w:cs="Calibri"/>
          <w:sz w:val="14"/>
          <w:szCs w:val="22"/>
        </w:rPr>
      </w:pPr>
    </w:p>
    <w:p w14:paraId="57619736" w14:textId="193262E9" w:rsidR="00E46D41" w:rsidRPr="000F1A1C" w:rsidRDefault="00E46D41" w:rsidP="006215E2">
      <w:pPr>
        <w:jc w:val="both"/>
        <w:rPr>
          <w:rFonts w:ascii="Tw Cen MT" w:hAnsi="Tw Cen MT" w:cs="Calibri"/>
          <w:sz w:val="22"/>
          <w:szCs w:val="22"/>
        </w:rPr>
      </w:pPr>
      <w:r w:rsidRPr="000F1A1C">
        <w:rPr>
          <w:rFonts w:ascii="Tw Cen MT" w:hAnsi="Tw Cen MT" w:cs="Calibri"/>
          <w:sz w:val="22"/>
          <w:szCs w:val="22"/>
        </w:rPr>
        <w:t>A la fin de sa mission, l</w:t>
      </w:r>
      <w:r w:rsidRPr="000F1A1C">
        <w:rPr>
          <w:rFonts w:ascii="Tw Cen MT" w:hAnsi="Tw Cen MT" w:cs="Calibri"/>
          <w:color w:val="000000"/>
          <w:sz w:val="22"/>
          <w:szCs w:val="22"/>
        </w:rPr>
        <w:t xml:space="preserve">e/la </w:t>
      </w:r>
      <w:r w:rsidR="00C879E0" w:rsidRPr="000F1A1C">
        <w:rPr>
          <w:rFonts w:ascii="Tw Cen MT" w:hAnsi="Tw Cen MT" w:cs="Calibri"/>
          <w:color w:val="000000"/>
          <w:sz w:val="22"/>
          <w:szCs w:val="22"/>
        </w:rPr>
        <w:t>C</w:t>
      </w:r>
      <w:r w:rsidRPr="000F1A1C">
        <w:rPr>
          <w:rFonts w:ascii="Tw Cen MT" w:hAnsi="Tw Cen MT" w:cs="Calibri"/>
          <w:color w:val="000000"/>
          <w:sz w:val="22"/>
          <w:szCs w:val="22"/>
        </w:rPr>
        <w:t xml:space="preserve">onsultant.e remettra une copie informatique de ses archives professionnelles </w:t>
      </w:r>
      <w:r w:rsidR="00D21C04" w:rsidRPr="00A950D3">
        <w:rPr>
          <w:rFonts w:ascii="Tw Cen MT" w:hAnsi="Tw Cen MT" w:cs="Calibri"/>
          <w:color w:val="000000"/>
          <w:sz w:val="22"/>
          <w:szCs w:val="22"/>
        </w:rPr>
        <w:t>Outlook</w:t>
      </w:r>
      <w:r w:rsidRPr="000F1A1C">
        <w:rPr>
          <w:rFonts w:ascii="Tw Cen MT" w:hAnsi="Tw Cen MT" w:cs="Calibri"/>
          <w:color w:val="000000"/>
          <w:sz w:val="22"/>
          <w:szCs w:val="22"/>
        </w:rPr>
        <w:t>.</w:t>
      </w:r>
    </w:p>
    <w:p w14:paraId="6770F10A" w14:textId="77777777" w:rsidR="006215E2" w:rsidRPr="000F1A1C" w:rsidRDefault="006215E2" w:rsidP="006215E2">
      <w:pPr>
        <w:jc w:val="both"/>
        <w:rPr>
          <w:rFonts w:ascii="Calibri" w:hAnsi="Calibri" w:cs="Calibri"/>
          <w:sz w:val="22"/>
          <w:szCs w:val="22"/>
        </w:rPr>
      </w:pPr>
    </w:p>
    <w:p w14:paraId="7DDCCB4F" w14:textId="336A59C6" w:rsidR="00F450B3" w:rsidRPr="000F1A1C" w:rsidRDefault="005B413E" w:rsidP="000F1A1C">
      <w:pPr>
        <w:pStyle w:val="Titre1"/>
        <w:rPr>
          <w:b w:val="0"/>
        </w:rPr>
      </w:pPr>
      <w:r>
        <w:rPr>
          <w:lang w:eastAsia="en-US"/>
        </w:rPr>
        <w:t>Profil</w:t>
      </w:r>
      <w:r w:rsidRPr="00A950D3">
        <w:rPr>
          <w:lang w:eastAsia="en-US"/>
        </w:rPr>
        <w:t xml:space="preserve"> </w:t>
      </w:r>
      <w:r w:rsidR="0008392A" w:rsidRPr="00A950D3">
        <w:rPr>
          <w:lang w:eastAsia="en-US"/>
        </w:rPr>
        <w:t>recherché</w:t>
      </w:r>
      <w:r w:rsidR="006C1AA7" w:rsidRPr="000F1A1C">
        <w:tab/>
      </w:r>
    </w:p>
    <w:p w14:paraId="1A70911C" w14:textId="77777777" w:rsidR="005B413E" w:rsidRDefault="005B413E" w:rsidP="005B413E">
      <w:pPr>
        <w:pStyle w:val="Titre2"/>
      </w:pPr>
      <w:r>
        <w:t>Compétences</w:t>
      </w:r>
    </w:p>
    <w:p w14:paraId="4C13FE2D" w14:textId="770F4B29" w:rsidR="004B13F5" w:rsidRDefault="00B32E66" w:rsidP="000F1A1C">
      <w:pPr>
        <w:autoSpaceDE w:val="0"/>
        <w:autoSpaceDN w:val="0"/>
        <w:adjustRightInd w:val="0"/>
        <w:jc w:val="both"/>
        <w:rPr>
          <w:rFonts w:ascii="Tw Cen MT" w:hAnsi="Tw Cen MT" w:cs="Calibri"/>
          <w:sz w:val="22"/>
          <w:szCs w:val="22"/>
        </w:rPr>
      </w:pPr>
      <w:r w:rsidRPr="000F1A1C">
        <w:rPr>
          <w:rFonts w:ascii="Tw Cen MT" w:hAnsi="Tw Cen MT" w:cs="Calibri"/>
          <w:color w:val="000000"/>
          <w:sz w:val="22"/>
          <w:szCs w:val="22"/>
        </w:rPr>
        <w:t xml:space="preserve">D’une formation supérieure universitaire ou diplômé(e) d'une grande école, vous disposez d’au moins </w:t>
      </w:r>
      <w:r w:rsidR="00C879E0">
        <w:rPr>
          <w:rFonts w:ascii="Tw Cen MT" w:hAnsi="Tw Cen MT" w:cs="Calibri"/>
          <w:color w:val="000000"/>
          <w:sz w:val="22"/>
          <w:szCs w:val="22"/>
        </w:rPr>
        <w:t>4</w:t>
      </w:r>
      <w:r w:rsidR="004643C9">
        <w:rPr>
          <w:rFonts w:ascii="Tw Cen MT" w:hAnsi="Tw Cen MT" w:cs="Calibri"/>
          <w:color w:val="000000"/>
          <w:sz w:val="22"/>
          <w:szCs w:val="22"/>
        </w:rPr>
        <w:t xml:space="preserve"> </w:t>
      </w:r>
      <w:r w:rsidRPr="000F1A1C">
        <w:rPr>
          <w:rFonts w:ascii="Tw Cen MT" w:hAnsi="Tw Cen MT" w:cs="Calibri"/>
          <w:color w:val="000000"/>
          <w:sz w:val="22"/>
          <w:szCs w:val="22"/>
        </w:rPr>
        <w:t xml:space="preserve">ans d’expérience professionnelle </w:t>
      </w:r>
      <w:r w:rsidR="00C879E0">
        <w:rPr>
          <w:rFonts w:ascii="Tw Cen MT" w:hAnsi="Tw Cen MT" w:cs="Calibri"/>
          <w:color w:val="000000"/>
          <w:sz w:val="22"/>
          <w:szCs w:val="22"/>
        </w:rPr>
        <w:t xml:space="preserve">dont 2 ans </w:t>
      </w:r>
      <w:r w:rsidRPr="000F1A1C">
        <w:rPr>
          <w:rFonts w:ascii="Tw Cen MT" w:hAnsi="Tw Cen MT" w:cs="Calibri"/>
          <w:color w:val="000000"/>
          <w:sz w:val="22"/>
          <w:szCs w:val="22"/>
        </w:rPr>
        <w:t xml:space="preserve">d’expériences préalables dans un pays en développement, idéalement en Afrique Subsaharienne et/ou au Maghreb, qui vous </w:t>
      </w:r>
      <w:r w:rsidR="00C879E0">
        <w:rPr>
          <w:rFonts w:ascii="Tw Cen MT" w:hAnsi="Tw Cen MT" w:cs="Calibri"/>
          <w:color w:val="000000"/>
          <w:sz w:val="22"/>
          <w:szCs w:val="22"/>
        </w:rPr>
        <w:t>ont</w:t>
      </w:r>
      <w:r w:rsidR="00C879E0" w:rsidRPr="000F1A1C">
        <w:rPr>
          <w:rFonts w:ascii="Tw Cen MT" w:hAnsi="Tw Cen MT" w:cs="Calibri"/>
          <w:color w:val="000000"/>
          <w:sz w:val="22"/>
          <w:szCs w:val="22"/>
        </w:rPr>
        <w:t xml:space="preserve"> </w:t>
      </w:r>
      <w:r w:rsidRPr="000F1A1C">
        <w:rPr>
          <w:rFonts w:ascii="Tw Cen MT" w:hAnsi="Tw Cen MT" w:cs="Calibri"/>
          <w:color w:val="000000"/>
          <w:sz w:val="22"/>
          <w:szCs w:val="22"/>
        </w:rPr>
        <w:t xml:space="preserve">permis d'appréhender les principales problématiques du développement mais également les modalités d’intervention d’un bailleur de fonds comme l’AFD (mécanismes de financement, coordination et harmonisation de l'aide...). </w:t>
      </w:r>
    </w:p>
    <w:p w14:paraId="360AD9B1" w14:textId="77777777" w:rsidR="004B13F5" w:rsidRPr="000F1A1C" w:rsidRDefault="004B13F5" w:rsidP="000F1A1C">
      <w:pPr>
        <w:autoSpaceDE w:val="0"/>
        <w:autoSpaceDN w:val="0"/>
        <w:adjustRightInd w:val="0"/>
        <w:jc w:val="both"/>
        <w:rPr>
          <w:rFonts w:ascii="Tw Cen MT" w:hAnsi="Tw Cen MT" w:cs="Calibri"/>
          <w:sz w:val="14"/>
          <w:szCs w:val="22"/>
        </w:rPr>
      </w:pPr>
    </w:p>
    <w:p w14:paraId="7DA6465E" w14:textId="67402FDB" w:rsidR="00B32E66" w:rsidRPr="000F1A1C" w:rsidRDefault="00B32E66" w:rsidP="00B32E66">
      <w:pPr>
        <w:pStyle w:val="Default"/>
        <w:jc w:val="both"/>
        <w:rPr>
          <w:rFonts w:ascii="Tw Cen MT" w:hAnsi="Tw Cen MT" w:cs="Calibri"/>
          <w:sz w:val="22"/>
          <w:szCs w:val="22"/>
        </w:rPr>
      </w:pPr>
      <w:r w:rsidRPr="000F1A1C">
        <w:rPr>
          <w:rFonts w:ascii="Tw Cen MT" w:hAnsi="Tw Cen MT" w:cs="Calibri"/>
          <w:sz w:val="22"/>
          <w:szCs w:val="22"/>
        </w:rPr>
        <w:t xml:space="preserve">Vous disposez </w:t>
      </w:r>
      <w:r w:rsidR="00E240BF">
        <w:rPr>
          <w:rFonts w:ascii="Tw Cen MT" w:hAnsi="Tw Cen MT" w:cs="Calibri"/>
          <w:sz w:val="22"/>
          <w:szCs w:val="22"/>
        </w:rPr>
        <w:t>d’une bonne</w:t>
      </w:r>
      <w:r w:rsidR="00E240BF" w:rsidRPr="003C3445">
        <w:rPr>
          <w:rFonts w:ascii="Tw Cen MT" w:hAnsi="Tw Cen MT" w:cs="Calibri"/>
          <w:sz w:val="22"/>
          <w:szCs w:val="22"/>
        </w:rPr>
        <w:t xml:space="preserve"> connaissance du secteur de l’énergie</w:t>
      </w:r>
      <w:r w:rsidR="00E240BF">
        <w:rPr>
          <w:rFonts w:ascii="Tw Cen MT" w:hAnsi="Tw Cen MT" w:cs="Calibri"/>
          <w:sz w:val="22"/>
          <w:szCs w:val="22"/>
        </w:rPr>
        <w:t>,</w:t>
      </w:r>
      <w:r w:rsidR="00E240BF" w:rsidRPr="003C3445">
        <w:rPr>
          <w:rFonts w:ascii="Tw Cen MT" w:hAnsi="Tw Cen MT" w:cs="Calibri"/>
          <w:sz w:val="22"/>
          <w:szCs w:val="22"/>
        </w:rPr>
        <w:t xml:space="preserve"> </w:t>
      </w:r>
      <w:r w:rsidR="004E5E15" w:rsidRPr="000F1A1C">
        <w:rPr>
          <w:rFonts w:ascii="Tw Cen MT" w:hAnsi="Tw Cen MT" w:cs="Calibri"/>
          <w:sz w:val="22"/>
          <w:szCs w:val="22"/>
        </w:rPr>
        <w:t xml:space="preserve">d’une expérience confirmée de gestion, d’évaluation et de suivi de projets de développement assortie </w:t>
      </w:r>
      <w:r w:rsidRPr="000F1A1C">
        <w:rPr>
          <w:rFonts w:ascii="Tw Cen MT" w:hAnsi="Tw Cen MT" w:cs="Calibri"/>
          <w:sz w:val="22"/>
          <w:szCs w:val="22"/>
        </w:rPr>
        <w:t>d’une solide connaissance des procédures de passation de marché</w:t>
      </w:r>
      <w:r w:rsidR="00E240BF">
        <w:rPr>
          <w:rFonts w:ascii="Tw Cen MT" w:hAnsi="Tw Cen MT" w:cs="Calibri"/>
          <w:sz w:val="22"/>
          <w:szCs w:val="22"/>
        </w:rPr>
        <w:t>s</w:t>
      </w:r>
      <w:r w:rsidRPr="000F1A1C">
        <w:rPr>
          <w:rFonts w:ascii="Tw Cen MT" w:hAnsi="Tw Cen MT" w:cs="Calibri"/>
          <w:sz w:val="22"/>
          <w:szCs w:val="22"/>
        </w:rPr>
        <w:t xml:space="preserve"> et d’une capacité éprouvée à dialoguer</w:t>
      </w:r>
      <w:r w:rsidR="004E5E15" w:rsidRPr="000F1A1C">
        <w:rPr>
          <w:rFonts w:ascii="Tw Cen MT" w:hAnsi="Tw Cen MT" w:cs="Calibri"/>
          <w:sz w:val="22"/>
          <w:szCs w:val="22"/>
        </w:rPr>
        <w:t xml:space="preserve"> et </w:t>
      </w:r>
      <w:r w:rsidRPr="000F1A1C">
        <w:rPr>
          <w:rFonts w:ascii="Tw Cen MT" w:hAnsi="Tw Cen MT" w:cs="Calibri"/>
          <w:sz w:val="22"/>
          <w:szCs w:val="22"/>
        </w:rPr>
        <w:t>animer des concertation</w:t>
      </w:r>
      <w:r w:rsidR="004E5E15" w:rsidRPr="000F1A1C">
        <w:rPr>
          <w:rFonts w:ascii="Tw Cen MT" w:hAnsi="Tw Cen MT" w:cs="Calibri"/>
          <w:sz w:val="22"/>
          <w:szCs w:val="22"/>
        </w:rPr>
        <w:t>s multi</w:t>
      </w:r>
      <w:r w:rsidR="00477FCB" w:rsidRPr="000F1A1C">
        <w:rPr>
          <w:rFonts w:ascii="Tw Cen MT" w:hAnsi="Tw Cen MT" w:cs="Calibri"/>
          <w:sz w:val="22"/>
          <w:szCs w:val="22"/>
        </w:rPr>
        <w:t>-</w:t>
      </w:r>
      <w:r w:rsidR="004E5E15" w:rsidRPr="000F1A1C">
        <w:rPr>
          <w:rFonts w:ascii="Tw Cen MT" w:hAnsi="Tw Cen MT" w:cs="Calibri"/>
          <w:sz w:val="22"/>
          <w:szCs w:val="22"/>
        </w:rPr>
        <w:t>acteurs.</w:t>
      </w:r>
    </w:p>
    <w:p w14:paraId="60DEC261" w14:textId="77777777" w:rsidR="005017F1" w:rsidRDefault="005017F1" w:rsidP="000F1A1C">
      <w:pPr>
        <w:pStyle w:val="Default"/>
        <w:jc w:val="both"/>
      </w:pPr>
    </w:p>
    <w:p w14:paraId="5CD3EC96" w14:textId="77777777" w:rsidR="00B32E66" w:rsidRDefault="00B32E66" w:rsidP="000F1A1C">
      <w:pPr>
        <w:pStyle w:val="Titre2"/>
      </w:pPr>
      <w:r>
        <w:t>Niveau d’étude / diplôme</w:t>
      </w:r>
    </w:p>
    <w:p w14:paraId="7D3906F6" w14:textId="4294AC32" w:rsidR="00B32E66" w:rsidRPr="000F1A1C" w:rsidRDefault="004E5E15" w:rsidP="000F1A1C">
      <w:pPr>
        <w:pStyle w:val="Default"/>
        <w:jc w:val="both"/>
        <w:rPr>
          <w:rFonts w:ascii="Tw Cen MT" w:hAnsi="Tw Cen MT" w:cs="Calibri"/>
          <w:strike/>
          <w:sz w:val="22"/>
          <w:szCs w:val="22"/>
        </w:rPr>
      </w:pPr>
      <w:r w:rsidRPr="000F1A1C">
        <w:rPr>
          <w:rFonts w:ascii="Tw Cen MT" w:hAnsi="Tw Cen MT" w:cs="Calibri"/>
          <w:sz w:val="22"/>
          <w:szCs w:val="22"/>
        </w:rPr>
        <w:t xml:space="preserve">Type de diplôme : </w:t>
      </w:r>
      <w:r w:rsidR="00477FCB" w:rsidRPr="000F1A1C">
        <w:rPr>
          <w:rFonts w:ascii="Tw Cen MT" w:hAnsi="Tw Cen MT" w:cs="Calibri"/>
          <w:sz w:val="22"/>
          <w:szCs w:val="22"/>
        </w:rPr>
        <w:t>Diplôme de niveau BAC+5/M2</w:t>
      </w:r>
      <w:r w:rsidRPr="000F1A1C">
        <w:rPr>
          <w:rFonts w:ascii="Tw Cen MT" w:hAnsi="Tw Cen MT" w:cs="Calibri"/>
          <w:sz w:val="22"/>
          <w:szCs w:val="22"/>
        </w:rPr>
        <w:t xml:space="preserve"> </w:t>
      </w:r>
      <w:r w:rsidR="00477FCB" w:rsidRPr="000F1A1C">
        <w:rPr>
          <w:rFonts w:ascii="Tw Cen MT" w:hAnsi="Tw Cen MT" w:cs="Calibri"/>
          <w:sz w:val="22"/>
          <w:szCs w:val="22"/>
        </w:rPr>
        <w:t>en Ingénierie</w:t>
      </w:r>
      <w:r w:rsidR="00E240BF">
        <w:rPr>
          <w:rFonts w:ascii="Tw Cen MT" w:hAnsi="Tw Cen MT" w:cs="Calibri"/>
          <w:sz w:val="22"/>
          <w:szCs w:val="22"/>
        </w:rPr>
        <w:t>,</w:t>
      </w:r>
      <w:r w:rsidR="00477FCB" w:rsidRPr="000F1A1C">
        <w:rPr>
          <w:rFonts w:ascii="Tw Cen MT" w:hAnsi="Tw Cen MT" w:cs="Calibri"/>
          <w:sz w:val="22"/>
          <w:szCs w:val="22"/>
        </w:rPr>
        <w:t xml:space="preserve"> ingénierie du développement, </w:t>
      </w:r>
      <w:r w:rsidRPr="000F1A1C">
        <w:rPr>
          <w:rFonts w:ascii="Tw Cen MT" w:hAnsi="Tw Cen MT" w:cs="Calibri"/>
          <w:sz w:val="22"/>
          <w:szCs w:val="22"/>
        </w:rPr>
        <w:t xml:space="preserve">Sciences humaines, Sciences Politiques </w:t>
      </w:r>
      <w:r w:rsidR="00477FCB" w:rsidRPr="000F1A1C">
        <w:rPr>
          <w:rFonts w:ascii="Tw Cen MT" w:hAnsi="Tw Cen MT" w:cs="Calibri"/>
          <w:sz w:val="22"/>
          <w:szCs w:val="22"/>
        </w:rPr>
        <w:t xml:space="preserve">ou </w:t>
      </w:r>
      <w:r w:rsidRPr="000F1A1C">
        <w:rPr>
          <w:rFonts w:ascii="Tw Cen MT" w:hAnsi="Tw Cen MT" w:cs="Calibri"/>
          <w:sz w:val="22"/>
          <w:szCs w:val="22"/>
        </w:rPr>
        <w:t>Sciences-Economiques (coopération internationale, économie du développement).</w:t>
      </w:r>
    </w:p>
    <w:p w14:paraId="104ED8B5" w14:textId="77777777" w:rsidR="004A605B" w:rsidRPr="000F1A1C" w:rsidRDefault="004A605B" w:rsidP="002F61B9">
      <w:pPr>
        <w:pStyle w:val="Default"/>
        <w:jc w:val="both"/>
        <w:rPr>
          <w:rFonts w:ascii="Calibri" w:hAnsi="Calibri" w:cs="Calibri"/>
          <w:sz w:val="22"/>
          <w:szCs w:val="22"/>
        </w:rPr>
      </w:pPr>
    </w:p>
    <w:p w14:paraId="3BDC4097" w14:textId="77777777" w:rsidR="00B17BAE" w:rsidRPr="000F1A1C" w:rsidRDefault="00B17BAE" w:rsidP="000F1A1C">
      <w:pPr>
        <w:pStyle w:val="Titre2"/>
        <w:rPr>
          <w:sz w:val="24"/>
          <w:szCs w:val="24"/>
        </w:rPr>
      </w:pPr>
      <w:r>
        <w:t>Qualités humaines / relationnelles</w:t>
      </w:r>
    </w:p>
    <w:p w14:paraId="46668E18" w14:textId="5380F99D" w:rsidR="00232DE9" w:rsidRDefault="00232DE9" w:rsidP="000F1A1C">
      <w:pPr>
        <w:autoSpaceDE w:val="0"/>
        <w:autoSpaceDN w:val="0"/>
        <w:adjustRightInd w:val="0"/>
        <w:jc w:val="both"/>
        <w:rPr>
          <w:rFonts w:ascii="Tw Cen MT" w:hAnsi="Tw Cen MT" w:cs="Calibri"/>
          <w:color w:val="000000"/>
          <w:sz w:val="22"/>
          <w:szCs w:val="22"/>
        </w:rPr>
      </w:pPr>
      <w:r>
        <w:rPr>
          <w:rFonts w:ascii="Tw Cen MT" w:hAnsi="Tw Cen MT" w:cs="Calibri"/>
          <w:color w:val="000000"/>
          <w:sz w:val="22"/>
          <w:szCs w:val="22"/>
        </w:rPr>
        <w:t xml:space="preserve">Le consultant doit </w:t>
      </w:r>
      <w:r w:rsidR="00B17BAE" w:rsidRPr="000F1A1C">
        <w:rPr>
          <w:rFonts w:ascii="Tw Cen MT" w:hAnsi="Tw Cen MT" w:cs="Calibri"/>
          <w:color w:val="000000"/>
          <w:sz w:val="22"/>
          <w:szCs w:val="22"/>
        </w:rPr>
        <w:t>dispose</w:t>
      </w:r>
      <w:r>
        <w:rPr>
          <w:rFonts w:ascii="Tw Cen MT" w:hAnsi="Tw Cen MT" w:cs="Calibri"/>
          <w:color w:val="000000"/>
          <w:sz w:val="22"/>
          <w:szCs w:val="22"/>
        </w:rPr>
        <w:t>r</w:t>
      </w:r>
      <w:r w:rsidR="00B17BAE" w:rsidRPr="000F1A1C">
        <w:rPr>
          <w:rFonts w:ascii="Tw Cen MT" w:hAnsi="Tw Cen MT" w:cs="Calibri"/>
          <w:color w:val="000000"/>
          <w:sz w:val="22"/>
          <w:szCs w:val="22"/>
        </w:rPr>
        <w:t xml:space="preserve"> de réelles capacités rédactionnelles</w:t>
      </w:r>
      <w:r>
        <w:rPr>
          <w:rFonts w:ascii="Tw Cen MT" w:hAnsi="Tw Cen MT" w:cs="Calibri"/>
          <w:color w:val="000000"/>
          <w:sz w:val="22"/>
          <w:szCs w:val="22"/>
        </w:rPr>
        <w:t xml:space="preserve"> </w:t>
      </w:r>
      <w:r w:rsidR="00B17BAE" w:rsidRPr="000F1A1C">
        <w:rPr>
          <w:rFonts w:ascii="Tw Cen MT" w:hAnsi="Tw Cen MT" w:cs="Calibri"/>
          <w:color w:val="000000"/>
          <w:sz w:val="22"/>
          <w:szCs w:val="22"/>
        </w:rPr>
        <w:t xml:space="preserve">d'analyse et de synthèse, </w:t>
      </w:r>
      <w:r>
        <w:rPr>
          <w:rFonts w:ascii="Tw Cen MT" w:hAnsi="Tw Cen MT" w:cs="Calibri"/>
          <w:color w:val="000000"/>
          <w:sz w:val="22"/>
          <w:szCs w:val="22"/>
        </w:rPr>
        <w:t xml:space="preserve">et </w:t>
      </w:r>
      <w:r w:rsidR="00B17BAE" w:rsidRPr="000F1A1C">
        <w:rPr>
          <w:rFonts w:ascii="Tw Cen MT" w:hAnsi="Tw Cen MT" w:cs="Calibri"/>
          <w:color w:val="000000"/>
          <w:sz w:val="22"/>
          <w:szCs w:val="22"/>
        </w:rPr>
        <w:t>maîtrise</w:t>
      </w:r>
      <w:r>
        <w:rPr>
          <w:rFonts w:ascii="Tw Cen MT" w:hAnsi="Tw Cen MT" w:cs="Calibri"/>
          <w:color w:val="000000"/>
          <w:sz w:val="22"/>
          <w:szCs w:val="22"/>
        </w:rPr>
        <w:t>r</w:t>
      </w:r>
      <w:r w:rsidR="00B17BAE" w:rsidRPr="000F1A1C">
        <w:rPr>
          <w:rFonts w:ascii="Tw Cen MT" w:hAnsi="Tw Cen MT" w:cs="Calibri"/>
          <w:color w:val="000000"/>
          <w:sz w:val="22"/>
          <w:szCs w:val="22"/>
        </w:rPr>
        <w:t xml:space="preserve"> les outils bureautiques standards.</w:t>
      </w:r>
    </w:p>
    <w:p w14:paraId="03D709EF" w14:textId="6BDAAE43" w:rsidR="0069356D" w:rsidRPr="000F1A1C" w:rsidRDefault="00232DE9" w:rsidP="000F1A1C">
      <w:pPr>
        <w:autoSpaceDE w:val="0"/>
        <w:autoSpaceDN w:val="0"/>
        <w:adjustRightInd w:val="0"/>
        <w:jc w:val="both"/>
      </w:pPr>
      <w:r>
        <w:rPr>
          <w:rFonts w:ascii="Tw Cen MT" w:hAnsi="Tw Cen MT" w:cs="Calibri"/>
          <w:color w:val="000000"/>
          <w:sz w:val="22"/>
          <w:szCs w:val="22"/>
        </w:rPr>
        <w:t>Le consultant doit</w:t>
      </w:r>
      <w:r w:rsidR="00B17BAE" w:rsidRPr="000F1A1C">
        <w:rPr>
          <w:rFonts w:ascii="Tw Cen MT" w:hAnsi="Tw Cen MT" w:cs="Calibri"/>
          <w:color w:val="000000"/>
          <w:sz w:val="22"/>
          <w:szCs w:val="22"/>
        </w:rPr>
        <w:t xml:space="preserve"> fai</w:t>
      </w:r>
      <w:r>
        <w:rPr>
          <w:rFonts w:ascii="Tw Cen MT" w:hAnsi="Tw Cen MT" w:cs="Calibri"/>
          <w:color w:val="000000"/>
          <w:sz w:val="22"/>
          <w:szCs w:val="22"/>
        </w:rPr>
        <w:t>re</w:t>
      </w:r>
      <w:r w:rsidR="00B17BAE" w:rsidRPr="000F1A1C">
        <w:rPr>
          <w:rFonts w:ascii="Tw Cen MT" w:hAnsi="Tw Cen MT" w:cs="Calibri"/>
          <w:color w:val="000000"/>
          <w:sz w:val="22"/>
          <w:szCs w:val="22"/>
        </w:rPr>
        <w:t xml:space="preserve"> preuve</w:t>
      </w:r>
      <w:r w:rsidR="00B32E66" w:rsidRPr="000F1A1C">
        <w:rPr>
          <w:rFonts w:ascii="Tw Cen MT" w:hAnsi="Tw Cen MT" w:cs="Calibri"/>
          <w:color w:val="000000"/>
          <w:sz w:val="22"/>
          <w:szCs w:val="22"/>
        </w:rPr>
        <w:t xml:space="preserve"> </w:t>
      </w:r>
      <w:r w:rsidR="00B17BAE" w:rsidRPr="000F1A1C">
        <w:rPr>
          <w:rFonts w:ascii="Tw Cen MT" w:hAnsi="Tw Cen MT" w:cs="Calibri"/>
          <w:color w:val="000000"/>
          <w:sz w:val="22"/>
          <w:szCs w:val="22"/>
        </w:rPr>
        <w:t xml:space="preserve">d’autonomie, </w:t>
      </w:r>
      <w:r w:rsidR="00B32E66" w:rsidRPr="000F1A1C">
        <w:rPr>
          <w:rFonts w:ascii="Tw Cen MT" w:hAnsi="Tw Cen MT" w:cs="Calibri"/>
          <w:color w:val="000000"/>
          <w:sz w:val="22"/>
          <w:szCs w:val="22"/>
        </w:rPr>
        <w:t xml:space="preserve">de rigueur (respect de la confidentialité incluse), </w:t>
      </w:r>
      <w:r w:rsidR="00B17BAE" w:rsidRPr="000F1A1C">
        <w:rPr>
          <w:rFonts w:ascii="Tw Cen MT" w:hAnsi="Tw Cen MT" w:cs="Calibri"/>
          <w:color w:val="000000"/>
          <w:sz w:val="22"/>
          <w:szCs w:val="22"/>
        </w:rPr>
        <w:t>de sens de l’organisation, disposez d’un bon sens relationnel, d‘un fort esprit d’é</w:t>
      </w:r>
      <w:r w:rsidR="00B32E66" w:rsidRPr="000F1A1C">
        <w:rPr>
          <w:rFonts w:ascii="Tw Cen MT" w:hAnsi="Tw Cen MT" w:cs="Calibri"/>
          <w:color w:val="000000"/>
          <w:sz w:val="22"/>
          <w:szCs w:val="22"/>
        </w:rPr>
        <w:t xml:space="preserve">quipe, </w:t>
      </w:r>
      <w:r w:rsidR="00B17BAE" w:rsidRPr="000F1A1C">
        <w:rPr>
          <w:rFonts w:ascii="Tw Cen MT" w:hAnsi="Tw Cen MT" w:cs="Calibri"/>
          <w:color w:val="000000"/>
          <w:sz w:val="22"/>
          <w:szCs w:val="22"/>
        </w:rPr>
        <w:t>d’une grande capacité de travail et d'adaptation à un contexte culturel et sociologique différent.</w:t>
      </w:r>
    </w:p>
    <w:sectPr w:rsidR="0069356D" w:rsidRPr="000F1A1C" w:rsidSect="00DD22A4">
      <w:headerReference w:type="default" r:id="rId16"/>
      <w:footerReference w:type="even" r:id="rId17"/>
      <w:footerReference w:type="default" r:id="rId18"/>
      <w:footerReference w:type="first" r:id="rId19"/>
      <w:pgSz w:w="11907" w:h="16840" w:code="9"/>
      <w:pgMar w:top="1134" w:right="1418" w:bottom="1134"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CEFD15" w14:textId="77777777" w:rsidR="00C96A2F" w:rsidRDefault="00C96A2F" w:rsidP="005A364A">
      <w:r>
        <w:separator/>
      </w:r>
    </w:p>
  </w:endnote>
  <w:endnote w:type="continuationSeparator" w:id="0">
    <w:p w14:paraId="20D7DD2C" w14:textId="77777777" w:rsidR="00C96A2F" w:rsidRDefault="00C96A2F" w:rsidP="005A36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w Cen MT">
    <w:panose1 w:val="020B0602020104020603"/>
    <w:charset w:val="00"/>
    <w:family w:val="swiss"/>
    <w:pitch w:val="variable"/>
    <w:sig w:usb0="00000007" w:usb1="00000000" w:usb2="00000000" w:usb3="00000000" w:csb0="00000003" w:csb1="00000000"/>
  </w:font>
  <w:font w:name="Segoe UI">
    <w:altName w:val="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 New Roman Gras">
    <w:altName w:val="Times New Roman"/>
    <w:panose1 w:val="00000000000000000000"/>
    <w:charset w:val="00"/>
    <w:family w:val="roman"/>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23E13" w14:textId="77777777" w:rsidR="00E86EEE" w:rsidRDefault="00E86EEE" w:rsidP="00934CFC">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6D640138" w14:textId="77777777" w:rsidR="00E86EEE" w:rsidRDefault="00E86EEE" w:rsidP="00934CFC">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ADF26" w14:textId="62D6F418" w:rsidR="00E86EEE" w:rsidRDefault="00E86EEE" w:rsidP="00934CFC">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9F7D1C">
      <w:rPr>
        <w:rStyle w:val="Numrodepage"/>
        <w:noProof/>
      </w:rPr>
      <w:t>9</w:t>
    </w:r>
    <w:r>
      <w:rPr>
        <w:rStyle w:val="Numrodepage"/>
      </w:rPr>
      <w:fldChar w:fldCharType="end"/>
    </w:r>
  </w:p>
  <w:p w14:paraId="662F80EE" w14:textId="77777777" w:rsidR="00E86EEE" w:rsidRPr="0041525F" w:rsidRDefault="00E86EEE" w:rsidP="0069339D">
    <w:pPr>
      <w:pStyle w:val="Pieddepage"/>
      <w:ind w:right="360"/>
      <w:jc w:val="both"/>
      <w:rPr>
        <w:sz w:val="12"/>
        <w:szCs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0AB6E" w14:textId="77777777" w:rsidR="00E86EEE" w:rsidRDefault="00E86EEE" w:rsidP="009831AC">
    <w:pPr>
      <w:pStyle w:val="Pieddepage"/>
      <w:pBdr>
        <w:top w:val="single" w:sz="4" w:space="1" w:color="auto"/>
      </w:pBdr>
      <w:jc w:val="center"/>
    </w:pPr>
    <w:r w:rsidRPr="00F064E8">
      <w:t xml:space="preserve">PDOB.    </w:t>
    </w:r>
    <w:r>
      <w:t xml:space="preserve">B.P. : 1523   à Garoua  -  Téléphone : Coordonnateur  961.21.10 ; Responsable Administratif et Financier 976 13 03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11F9C4" w14:textId="77777777" w:rsidR="00C96A2F" w:rsidRDefault="00C96A2F" w:rsidP="005A364A">
      <w:r>
        <w:separator/>
      </w:r>
    </w:p>
  </w:footnote>
  <w:footnote w:type="continuationSeparator" w:id="0">
    <w:p w14:paraId="4CDDC162" w14:textId="77777777" w:rsidR="00C96A2F" w:rsidRDefault="00C96A2F" w:rsidP="005A364A">
      <w:r>
        <w:continuationSeparator/>
      </w:r>
    </w:p>
  </w:footnote>
  <w:footnote w:id="1">
    <w:p w14:paraId="71B9E91B" w14:textId="77777777" w:rsidR="008A1D30" w:rsidRPr="00232DE9" w:rsidRDefault="008A1D30" w:rsidP="008A1D30">
      <w:pPr>
        <w:pStyle w:val="Notedebasdepage"/>
        <w:rPr>
          <w:rStyle w:val="Appelnotedebasdep"/>
          <w:vertAlign w:val="baseline"/>
        </w:rPr>
      </w:pPr>
      <w:r>
        <w:rPr>
          <w:rStyle w:val="Appelnotedebasdep"/>
        </w:rPr>
        <w:footnoteRef/>
      </w:r>
      <w:r w:rsidRPr="00232DE9">
        <w:rPr>
          <w:rStyle w:val="Appelnotedebasdep"/>
        </w:rPr>
        <w:t xml:space="preserve"> </w:t>
      </w:r>
      <w:r w:rsidRPr="00232DE9">
        <w:rPr>
          <w:rStyle w:val="Appelnotedebasdep"/>
          <w:vertAlign w:val="baseline"/>
        </w:rPr>
        <w:t>Renforcement des Investissements Productifs et Energétiques en Mauritanie pour le Développement Durable des zones rurales</w:t>
      </w:r>
    </w:p>
  </w:footnote>
  <w:footnote w:id="2">
    <w:p w14:paraId="043094C4" w14:textId="77777777" w:rsidR="00AF3493" w:rsidRPr="00921CCF" w:rsidRDefault="00AF3493" w:rsidP="00AF3493">
      <w:pPr>
        <w:pStyle w:val="Notedebasdepage"/>
      </w:pPr>
      <w:r w:rsidRPr="00921CCF">
        <w:rPr>
          <w:rStyle w:val="Appelnotedebasdep"/>
        </w:rPr>
        <w:footnoteRef/>
      </w:r>
      <w:r w:rsidRPr="00921CCF">
        <w:t xml:space="preserve"> Par exemple, la centrale éolie</w:t>
      </w:r>
      <w:r>
        <w:t>nne de 100 MW construite à Boule</w:t>
      </w:r>
      <w:r w:rsidR="000F79F7">
        <w:t>nouar serait</w:t>
      </w:r>
      <w:r w:rsidRPr="00921CCF">
        <w:t xml:space="preserve"> utilisée à moins de 50% de sa capacité.</w:t>
      </w:r>
    </w:p>
  </w:footnote>
  <w:footnote w:id="3">
    <w:p w14:paraId="56C7E2AB" w14:textId="77777777" w:rsidR="00C81485" w:rsidRDefault="00C81485">
      <w:pPr>
        <w:pStyle w:val="Notedebasdepage"/>
      </w:pPr>
      <w:r>
        <w:rPr>
          <w:rStyle w:val="Appelnotedebasdep"/>
        </w:rPr>
        <w:footnoteRef/>
      </w:r>
      <w:r>
        <w:t xml:space="preserve"> Assistance à Maîtrise d’Ouvrage</w:t>
      </w:r>
    </w:p>
  </w:footnote>
  <w:footnote w:id="4">
    <w:p w14:paraId="4D4F8E31" w14:textId="1A2203F4" w:rsidR="00135025" w:rsidRDefault="0092615B">
      <w:pPr>
        <w:pStyle w:val="Notedebasdepage"/>
      </w:pPr>
      <w:r>
        <w:rPr>
          <w:rStyle w:val="Appelnotedebasdep"/>
        </w:rPr>
        <w:footnoteRef/>
      </w:r>
      <w:r>
        <w:t xml:space="preserve"> Elle prévoit notamment la réalisation d’une ‘étude d</w:t>
      </w:r>
      <w:r w:rsidR="00385F0E">
        <w:t>'</w:t>
      </w:r>
      <w:r>
        <w:t xml:space="preserve">e soutenabilité budgétaire’ du projet, à valider par la Direction Générale des PPPs (DGPPP), puis la validation officielle </w:t>
      </w:r>
      <w:r w:rsidR="00135025">
        <w:t>de l’approche PPP pour le</w:t>
      </w:r>
      <w:r>
        <w:t xml:space="preserve"> projet </w:t>
      </w:r>
      <w:r w:rsidR="00135025">
        <w:t>au cours d’un Comité Technique d’Appui, puis d’un Comité Interministériel entérinant la décision, conformément à la loi PPP mauritanienne.</w:t>
      </w:r>
      <w:r w:rsidR="00385F0E">
        <w:t xml:space="preserve"> L’ensemble de ces étapes ont d’ores et déjà été réalisées.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FF475" w14:textId="0CC88B51" w:rsidR="00E86EEE" w:rsidRDefault="00E86EE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524E4"/>
    <w:multiLevelType w:val="hybridMultilevel"/>
    <w:tmpl w:val="955ECA10"/>
    <w:lvl w:ilvl="0" w:tplc="040C000F">
      <w:start w:val="1"/>
      <w:numFmt w:val="decimal"/>
      <w:lvlText w:val="%1."/>
      <w:lvlJc w:val="left"/>
      <w:pPr>
        <w:ind w:left="1440" w:hanging="360"/>
      </w:pPr>
      <w:rPr>
        <w:rFont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 w15:restartNumberingAfterBreak="0">
    <w:nsid w:val="023960BB"/>
    <w:multiLevelType w:val="hybridMultilevel"/>
    <w:tmpl w:val="A87655A4"/>
    <w:lvl w:ilvl="0" w:tplc="C4F8DAD4">
      <w:start w:val="1"/>
      <w:numFmt w:val="lowerLetter"/>
      <w:lvlText w:val="%1)"/>
      <w:lvlJc w:val="left"/>
      <w:pPr>
        <w:ind w:left="1140" w:hanging="78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2E66495"/>
    <w:multiLevelType w:val="hybridMultilevel"/>
    <w:tmpl w:val="67C6AB98"/>
    <w:lvl w:ilvl="0" w:tplc="89DC3C02">
      <w:start w:val="1"/>
      <w:numFmt w:val="decimal"/>
      <w:lvlText w:val="%1)"/>
      <w:lvlJc w:val="left"/>
      <w:pPr>
        <w:ind w:left="360" w:hanging="360"/>
      </w:pPr>
      <w:rPr>
        <w:b w:val="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 w15:restartNumberingAfterBreak="0">
    <w:nsid w:val="04207E83"/>
    <w:multiLevelType w:val="hybridMultilevel"/>
    <w:tmpl w:val="E9088AB0"/>
    <w:lvl w:ilvl="0" w:tplc="F684C700">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4572C94"/>
    <w:multiLevelType w:val="hybridMultilevel"/>
    <w:tmpl w:val="95F2FD6C"/>
    <w:lvl w:ilvl="0" w:tplc="A9F22ECC">
      <w:start w:val="1"/>
      <w:numFmt w:val="lowerLetter"/>
      <w:lvlText w:val="%1."/>
      <w:lvlJc w:val="left"/>
      <w:pPr>
        <w:ind w:left="720" w:hanging="360"/>
      </w:pPr>
      <w:rPr>
        <w:rFonts w:ascii="Verdana" w:eastAsia="Times New Roman" w:hAnsi="Verdana" w:cs="Times New Roman"/>
        <w:color w:val="000000"/>
        <w:sz w:val="23"/>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5484E1B"/>
    <w:multiLevelType w:val="hybridMultilevel"/>
    <w:tmpl w:val="9042C8E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68E1ECD"/>
    <w:multiLevelType w:val="hybridMultilevel"/>
    <w:tmpl w:val="136C85E6"/>
    <w:lvl w:ilvl="0" w:tplc="040C000F">
      <w:start w:val="1"/>
      <w:numFmt w:val="decimal"/>
      <w:lvlText w:val="%1."/>
      <w:lvlJc w:val="left"/>
      <w:pPr>
        <w:tabs>
          <w:tab w:val="num" w:pos="720"/>
        </w:tabs>
        <w:ind w:left="720" w:hanging="360"/>
      </w:pPr>
    </w:lvl>
    <w:lvl w:ilvl="1" w:tplc="3D322AE4">
      <w:start w:val="1"/>
      <w:numFmt w:val="decimal"/>
      <w:lvlText w:val="%2)"/>
      <w:lvlJc w:val="left"/>
      <w:pPr>
        <w:tabs>
          <w:tab w:val="num" w:pos="1440"/>
        </w:tabs>
        <w:ind w:left="1440" w:hanging="360"/>
      </w:pPr>
      <w:rPr>
        <w:rFonts w:ascii="Verdana" w:hAnsi="Verdana" w:hint="default"/>
        <w:b w:val="0"/>
        <w:sz w:val="18"/>
        <w:szCs w:val="18"/>
      </w:rPr>
    </w:lvl>
    <w:lvl w:ilvl="2" w:tplc="040C001B">
      <w:start w:val="1"/>
      <w:numFmt w:val="lowerRoman"/>
      <w:lvlText w:val="%3."/>
      <w:lvlJc w:val="right"/>
      <w:pPr>
        <w:tabs>
          <w:tab w:val="num" w:pos="2340"/>
        </w:tabs>
        <w:ind w:left="2340" w:hanging="36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7" w15:restartNumberingAfterBreak="0">
    <w:nsid w:val="09133C34"/>
    <w:multiLevelType w:val="hybridMultilevel"/>
    <w:tmpl w:val="437670DE"/>
    <w:lvl w:ilvl="0" w:tplc="397A8D0A">
      <w:start w:val="3"/>
      <w:numFmt w:val="bullet"/>
      <w:lvlText w:val=""/>
      <w:lvlJc w:val="left"/>
      <w:pPr>
        <w:ind w:left="720" w:hanging="360"/>
      </w:pPr>
      <w:rPr>
        <w:rFonts w:ascii="Symbol" w:eastAsia="Times New Roman" w:hAnsi="Symbol"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AE3577B"/>
    <w:multiLevelType w:val="hybridMultilevel"/>
    <w:tmpl w:val="29FC19B2"/>
    <w:lvl w:ilvl="0" w:tplc="9F4491F6">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B027201"/>
    <w:multiLevelType w:val="hybridMultilevel"/>
    <w:tmpl w:val="C386920E"/>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0E9B792F"/>
    <w:multiLevelType w:val="multilevel"/>
    <w:tmpl w:val="FC921876"/>
    <w:lvl w:ilvl="0">
      <w:start w:val="1"/>
      <w:numFmt w:val="decimal"/>
      <w:lvlText w:val="%1."/>
      <w:lvlJc w:val="left"/>
      <w:pPr>
        <w:ind w:left="720" w:hanging="36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0FB6651B"/>
    <w:multiLevelType w:val="hybridMultilevel"/>
    <w:tmpl w:val="643820A0"/>
    <w:lvl w:ilvl="0" w:tplc="DBC6D39E">
      <w:start w:val="1"/>
      <w:numFmt w:val="decimal"/>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2015921"/>
    <w:multiLevelType w:val="hybridMultilevel"/>
    <w:tmpl w:val="172AE7CC"/>
    <w:lvl w:ilvl="0" w:tplc="C4F8DAD4">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23D6189"/>
    <w:multiLevelType w:val="hybridMultilevel"/>
    <w:tmpl w:val="295E7B0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5010B42"/>
    <w:multiLevelType w:val="hybridMultilevel"/>
    <w:tmpl w:val="6032DE5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169C0D91"/>
    <w:multiLevelType w:val="hybridMultilevel"/>
    <w:tmpl w:val="40EE3DFC"/>
    <w:lvl w:ilvl="0" w:tplc="F684C700">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BB776AE"/>
    <w:multiLevelType w:val="hybridMultilevel"/>
    <w:tmpl w:val="A2C83D66"/>
    <w:lvl w:ilvl="0" w:tplc="F684C700">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C2E409F"/>
    <w:multiLevelType w:val="hybridMultilevel"/>
    <w:tmpl w:val="FE746C4A"/>
    <w:lvl w:ilvl="0" w:tplc="36F83FA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1D435812"/>
    <w:multiLevelType w:val="hybridMultilevel"/>
    <w:tmpl w:val="97DA1944"/>
    <w:lvl w:ilvl="0" w:tplc="040C0013">
      <w:start w:val="1"/>
      <w:numFmt w:val="upperRoman"/>
      <w:lvlText w:val="%1."/>
      <w:lvlJc w:val="right"/>
      <w:pPr>
        <w:ind w:left="360" w:hanging="360"/>
      </w:pPr>
      <w:rPr>
        <w:rFonts w:hint="default"/>
        <w:color w:val="808080"/>
        <w:sz w:val="20"/>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9F003A72">
      <w:start w:val="1"/>
      <w:numFmt w:val="lowerRoman"/>
      <w:lvlText w:val="(%4)"/>
      <w:lvlJc w:val="left"/>
      <w:pPr>
        <w:ind w:left="2880" w:hanging="720"/>
      </w:pPr>
      <w:rPr>
        <w:rFonts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1DBF6D94"/>
    <w:multiLevelType w:val="singleLevel"/>
    <w:tmpl w:val="040C000F"/>
    <w:lvl w:ilvl="0">
      <w:start w:val="1"/>
      <w:numFmt w:val="decimal"/>
      <w:lvlText w:val="%1."/>
      <w:lvlJc w:val="left"/>
      <w:pPr>
        <w:tabs>
          <w:tab w:val="num" w:pos="360"/>
        </w:tabs>
        <w:ind w:left="360" w:hanging="360"/>
      </w:pPr>
      <w:rPr>
        <w:rFonts w:cs="Times New Roman"/>
      </w:rPr>
    </w:lvl>
  </w:abstractNum>
  <w:abstractNum w:abstractNumId="20" w15:restartNumberingAfterBreak="0">
    <w:nsid w:val="21962262"/>
    <w:multiLevelType w:val="hybridMultilevel"/>
    <w:tmpl w:val="FE746C4A"/>
    <w:lvl w:ilvl="0" w:tplc="36F83FA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21D2258A"/>
    <w:multiLevelType w:val="hybridMultilevel"/>
    <w:tmpl w:val="70446E56"/>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2" w15:restartNumberingAfterBreak="0">
    <w:nsid w:val="22042FF6"/>
    <w:multiLevelType w:val="singleLevel"/>
    <w:tmpl w:val="953226F4"/>
    <w:lvl w:ilvl="0">
      <w:start w:val="5"/>
      <w:numFmt w:val="bullet"/>
      <w:lvlText w:val="-"/>
      <w:lvlJc w:val="left"/>
      <w:pPr>
        <w:tabs>
          <w:tab w:val="num" w:pos="360"/>
        </w:tabs>
        <w:ind w:left="360" w:hanging="360"/>
      </w:pPr>
      <w:rPr>
        <w:rFonts w:ascii="Times New Roman" w:hAnsi="Times New Roman" w:cs="Times New Roman" w:hint="default"/>
      </w:rPr>
    </w:lvl>
  </w:abstractNum>
  <w:abstractNum w:abstractNumId="23" w15:restartNumberingAfterBreak="0">
    <w:nsid w:val="22457222"/>
    <w:multiLevelType w:val="hybridMultilevel"/>
    <w:tmpl w:val="FE746C4A"/>
    <w:lvl w:ilvl="0" w:tplc="36F83FA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28242E8A"/>
    <w:multiLevelType w:val="hybridMultilevel"/>
    <w:tmpl w:val="49EA1EB0"/>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5" w15:restartNumberingAfterBreak="0">
    <w:nsid w:val="29736E71"/>
    <w:multiLevelType w:val="hybridMultilevel"/>
    <w:tmpl w:val="6DACE66E"/>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29C11C17"/>
    <w:multiLevelType w:val="hybridMultilevel"/>
    <w:tmpl w:val="30406EA8"/>
    <w:lvl w:ilvl="0" w:tplc="114CD704">
      <w:start w:val="3"/>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2F592C24"/>
    <w:multiLevelType w:val="hybridMultilevel"/>
    <w:tmpl w:val="294A7160"/>
    <w:lvl w:ilvl="0" w:tplc="DFA8AD92">
      <w:start w:val="1"/>
      <w:numFmt w:val="lowerLetter"/>
      <w:lvlText w:val="%1."/>
      <w:lvlJc w:val="left"/>
      <w:pPr>
        <w:ind w:left="1800" w:hanging="360"/>
      </w:pPr>
      <w:rPr>
        <w:rFonts w:hint="default"/>
      </w:rPr>
    </w:lvl>
    <w:lvl w:ilvl="1" w:tplc="040C0019">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8" w15:restartNumberingAfterBreak="0">
    <w:nsid w:val="306001D6"/>
    <w:multiLevelType w:val="hybridMultilevel"/>
    <w:tmpl w:val="F9B667FA"/>
    <w:lvl w:ilvl="0" w:tplc="7032B0C4">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9" w15:restartNumberingAfterBreak="0">
    <w:nsid w:val="31542CCB"/>
    <w:multiLevelType w:val="hybridMultilevel"/>
    <w:tmpl w:val="60BEDC8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36F10723"/>
    <w:multiLevelType w:val="hybridMultilevel"/>
    <w:tmpl w:val="B1629464"/>
    <w:lvl w:ilvl="0" w:tplc="36F83FA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377B1A13"/>
    <w:multiLevelType w:val="hybridMultilevel"/>
    <w:tmpl w:val="23EEB41A"/>
    <w:lvl w:ilvl="0" w:tplc="4EE8948C">
      <w:start w:val="1"/>
      <w:numFmt w:val="upperLetter"/>
      <w:lvlText w:val="%1."/>
      <w:lvlJc w:val="left"/>
      <w:pPr>
        <w:ind w:left="720" w:hanging="360"/>
      </w:pPr>
      <w:rPr>
        <w:rFonts w:ascii="Tw Cen MT" w:hAnsi="Tw Cen MT" w:cs="Segoe UI" w:hint="default"/>
        <w:b/>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383C1AFF"/>
    <w:multiLevelType w:val="hybridMultilevel"/>
    <w:tmpl w:val="6922A3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38EE5331"/>
    <w:multiLevelType w:val="hybridMultilevel"/>
    <w:tmpl w:val="955ECA10"/>
    <w:lvl w:ilvl="0" w:tplc="040C000F">
      <w:start w:val="1"/>
      <w:numFmt w:val="decimal"/>
      <w:lvlText w:val="%1."/>
      <w:lvlJc w:val="left"/>
      <w:pPr>
        <w:ind w:left="1440" w:hanging="360"/>
      </w:pPr>
      <w:rPr>
        <w:rFont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4" w15:restartNumberingAfterBreak="0">
    <w:nsid w:val="38F95628"/>
    <w:multiLevelType w:val="hybridMultilevel"/>
    <w:tmpl w:val="EA24F434"/>
    <w:lvl w:ilvl="0" w:tplc="F684C700">
      <w:numFmt w:val="bullet"/>
      <w:lvlText w:val="-"/>
      <w:lvlJc w:val="left"/>
      <w:pPr>
        <w:ind w:left="1440" w:hanging="360"/>
      </w:pPr>
      <w:rPr>
        <w:rFonts w:ascii="Calibri" w:eastAsia="Times New Roman" w:hAnsi="Calibri" w:cs="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5" w15:restartNumberingAfterBreak="0">
    <w:nsid w:val="3A906188"/>
    <w:multiLevelType w:val="hybridMultilevel"/>
    <w:tmpl w:val="26AA9844"/>
    <w:lvl w:ilvl="0" w:tplc="D2C20C66">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3B527369"/>
    <w:multiLevelType w:val="hybridMultilevel"/>
    <w:tmpl w:val="0E1A5E88"/>
    <w:lvl w:ilvl="0" w:tplc="136EADE8">
      <w:start w:val="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3CC76BA9"/>
    <w:multiLevelType w:val="hybridMultilevel"/>
    <w:tmpl w:val="E7D20A94"/>
    <w:lvl w:ilvl="0" w:tplc="B26A1402">
      <w:start w:val="1"/>
      <w:numFmt w:val="upperLetter"/>
      <w:lvlText w:val="%1)"/>
      <w:lvlJc w:val="left"/>
      <w:pPr>
        <w:ind w:left="765" w:hanging="4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3E69718E"/>
    <w:multiLevelType w:val="hybridMultilevel"/>
    <w:tmpl w:val="CE145EE2"/>
    <w:lvl w:ilvl="0" w:tplc="8B967A36">
      <w:start w:val="1"/>
      <w:numFmt w:val="upperLetter"/>
      <w:lvlText w:val="%1."/>
      <w:lvlJc w:val="left"/>
      <w:pPr>
        <w:ind w:left="720" w:hanging="360"/>
      </w:pPr>
      <w:rPr>
        <w:rFonts w:hint="default"/>
        <w:b/>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471362D3"/>
    <w:multiLevelType w:val="hybridMultilevel"/>
    <w:tmpl w:val="557E5DA2"/>
    <w:lvl w:ilvl="0" w:tplc="500406D4">
      <w:start w:val="1"/>
      <w:numFmt w:val="bullet"/>
      <w:lvlText w:val=""/>
      <w:lvlJc w:val="left"/>
      <w:pPr>
        <w:ind w:left="360" w:hanging="360"/>
      </w:pPr>
      <w:rPr>
        <w:rFonts w:ascii="Wingdings" w:hAnsi="Wingdings" w:hint="default"/>
        <w:color w:val="808080"/>
        <w:sz w:val="20"/>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15:restartNumberingAfterBreak="0">
    <w:nsid w:val="47984A99"/>
    <w:multiLevelType w:val="hybridMultilevel"/>
    <w:tmpl w:val="1E120E1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48D266B9"/>
    <w:multiLevelType w:val="hybridMultilevel"/>
    <w:tmpl w:val="FE746C4A"/>
    <w:lvl w:ilvl="0" w:tplc="36F83FA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492563BA"/>
    <w:multiLevelType w:val="hybridMultilevel"/>
    <w:tmpl w:val="BE147AF4"/>
    <w:lvl w:ilvl="0" w:tplc="A404B1A0">
      <w:start w:val="1"/>
      <w:numFmt w:val="decimal"/>
      <w:lvlText w:val="%1)"/>
      <w:lvlJc w:val="left"/>
      <w:pPr>
        <w:ind w:left="405" w:hanging="360"/>
      </w:pPr>
      <w:rPr>
        <w:rFonts w:hint="default"/>
      </w:rPr>
    </w:lvl>
    <w:lvl w:ilvl="1" w:tplc="040C0019" w:tentative="1">
      <w:start w:val="1"/>
      <w:numFmt w:val="lowerLetter"/>
      <w:lvlText w:val="%2."/>
      <w:lvlJc w:val="left"/>
      <w:pPr>
        <w:ind w:left="1125" w:hanging="360"/>
      </w:pPr>
    </w:lvl>
    <w:lvl w:ilvl="2" w:tplc="040C001B" w:tentative="1">
      <w:start w:val="1"/>
      <w:numFmt w:val="lowerRoman"/>
      <w:lvlText w:val="%3."/>
      <w:lvlJc w:val="right"/>
      <w:pPr>
        <w:ind w:left="1845" w:hanging="180"/>
      </w:pPr>
    </w:lvl>
    <w:lvl w:ilvl="3" w:tplc="040C000F" w:tentative="1">
      <w:start w:val="1"/>
      <w:numFmt w:val="decimal"/>
      <w:lvlText w:val="%4."/>
      <w:lvlJc w:val="left"/>
      <w:pPr>
        <w:ind w:left="2565" w:hanging="360"/>
      </w:pPr>
    </w:lvl>
    <w:lvl w:ilvl="4" w:tplc="040C0019" w:tentative="1">
      <w:start w:val="1"/>
      <w:numFmt w:val="lowerLetter"/>
      <w:lvlText w:val="%5."/>
      <w:lvlJc w:val="left"/>
      <w:pPr>
        <w:ind w:left="3285" w:hanging="360"/>
      </w:pPr>
    </w:lvl>
    <w:lvl w:ilvl="5" w:tplc="040C001B" w:tentative="1">
      <w:start w:val="1"/>
      <w:numFmt w:val="lowerRoman"/>
      <w:lvlText w:val="%6."/>
      <w:lvlJc w:val="right"/>
      <w:pPr>
        <w:ind w:left="4005" w:hanging="180"/>
      </w:pPr>
    </w:lvl>
    <w:lvl w:ilvl="6" w:tplc="040C000F" w:tentative="1">
      <w:start w:val="1"/>
      <w:numFmt w:val="decimal"/>
      <w:lvlText w:val="%7."/>
      <w:lvlJc w:val="left"/>
      <w:pPr>
        <w:ind w:left="4725" w:hanging="360"/>
      </w:pPr>
    </w:lvl>
    <w:lvl w:ilvl="7" w:tplc="040C0019" w:tentative="1">
      <w:start w:val="1"/>
      <w:numFmt w:val="lowerLetter"/>
      <w:lvlText w:val="%8."/>
      <w:lvlJc w:val="left"/>
      <w:pPr>
        <w:ind w:left="5445" w:hanging="360"/>
      </w:pPr>
    </w:lvl>
    <w:lvl w:ilvl="8" w:tplc="040C001B" w:tentative="1">
      <w:start w:val="1"/>
      <w:numFmt w:val="lowerRoman"/>
      <w:lvlText w:val="%9."/>
      <w:lvlJc w:val="right"/>
      <w:pPr>
        <w:ind w:left="6165" w:hanging="180"/>
      </w:pPr>
    </w:lvl>
  </w:abstractNum>
  <w:abstractNum w:abstractNumId="43" w15:restartNumberingAfterBreak="0">
    <w:nsid w:val="494A6830"/>
    <w:multiLevelType w:val="hybridMultilevel"/>
    <w:tmpl w:val="4C0020DE"/>
    <w:lvl w:ilvl="0" w:tplc="D0E6A772">
      <w:start w:val="1"/>
      <w:numFmt w:val="lowerLetter"/>
      <w:lvlText w:val="%1)"/>
      <w:lvlJc w:val="left"/>
      <w:pPr>
        <w:ind w:left="1080" w:hanging="360"/>
      </w:pPr>
      <w:rPr>
        <w:rFonts w:hint="default"/>
        <w:sz w:val="22"/>
      </w:rPr>
    </w:lvl>
    <w:lvl w:ilvl="1" w:tplc="040C000F">
      <w:start w:val="1"/>
      <w:numFmt w:val="decimal"/>
      <w:lvlText w:val="%2."/>
      <w:lvlJc w:val="left"/>
      <w:pPr>
        <w:ind w:left="2204"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4" w15:restartNumberingAfterBreak="0">
    <w:nsid w:val="4A8C30B5"/>
    <w:multiLevelType w:val="hybridMultilevel"/>
    <w:tmpl w:val="ECC26120"/>
    <w:lvl w:ilvl="0" w:tplc="159C5986">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4CF50A52"/>
    <w:multiLevelType w:val="hybridMultilevel"/>
    <w:tmpl w:val="3E5CDA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531C2DC4"/>
    <w:multiLevelType w:val="hybridMultilevel"/>
    <w:tmpl w:val="E6DC147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7" w15:restartNumberingAfterBreak="0">
    <w:nsid w:val="53343EDF"/>
    <w:multiLevelType w:val="hybridMultilevel"/>
    <w:tmpl w:val="257EA15A"/>
    <w:lvl w:ilvl="0" w:tplc="94308688">
      <w:start w:val="1"/>
      <w:numFmt w:val="upp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8" w15:restartNumberingAfterBreak="0">
    <w:nsid w:val="54A86DD1"/>
    <w:multiLevelType w:val="hybridMultilevel"/>
    <w:tmpl w:val="FE441622"/>
    <w:lvl w:ilvl="0" w:tplc="97226646">
      <w:start w:val="3"/>
      <w:numFmt w:val="bullet"/>
      <w:lvlText w:val=""/>
      <w:lvlJc w:val="left"/>
      <w:pPr>
        <w:ind w:left="720" w:hanging="360"/>
      </w:pPr>
      <w:rPr>
        <w:rFonts w:ascii="Symbol" w:eastAsia="Times New Roman" w:hAnsi="Symbol"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578018E2"/>
    <w:multiLevelType w:val="hybridMultilevel"/>
    <w:tmpl w:val="A3043FEE"/>
    <w:lvl w:ilvl="0" w:tplc="D8E2D30E">
      <w:start w:val="1"/>
      <w:numFmt w:val="bullet"/>
      <w:lvlText w:val=""/>
      <w:lvlJc w:val="left"/>
      <w:pPr>
        <w:tabs>
          <w:tab w:val="num" w:pos="720"/>
        </w:tabs>
        <w:ind w:left="720" w:hanging="360"/>
      </w:pPr>
      <w:rPr>
        <w:rFonts w:ascii="Wingdings" w:hAnsi="Wingdings" w:hint="default"/>
      </w:rPr>
    </w:lvl>
    <w:lvl w:ilvl="1" w:tplc="3B72CDF8" w:tentative="1">
      <w:start w:val="1"/>
      <w:numFmt w:val="bullet"/>
      <w:lvlText w:val=""/>
      <w:lvlJc w:val="left"/>
      <w:pPr>
        <w:tabs>
          <w:tab w:val="num" w:pos="1440"/>
        </w:tabs>
        <w:ind w:left="1440" w:hanging="360"/>
      </w:pPr>
      <w:rPr>
        <w:rFonts w:ascii="Wingdings" w:hAnsi="Wingdings" w:hint="default"/>
      </w:rPr>
    </w:lvl>
    <w:lvl w:ilvl="2" w:tplc="242041C0" w:tentative="1">
      <w:start w:val="1"/>
      <w:numFmt w:val="bullet"/>
      <w:lvlText w:val=""/>
      <w:lvlJc w:val="left"/>
      <w:pPr>
        <w:tabs>
          <w:tab w:val="num" w:pos="2160"/>
        </w:tabs>
        <w:ind w:left="2160" w:hanging="360"/>
      </w:pPr>
      <w:rPr>
        <w:rFonts w:ascii="Wingdings" w:hAnsi="Wingdings" w:hint="default"/>
      </w:rPr>
    </w:lvl>
    <w:lvl w:ilvl="3" w:tplc="ED56C08A" w:tentative="1">
      <w:start w:val="1"/>
      <w:numFmt w:val="bullet"/>
      <w:lvlText w:val=""/>
      <w:lvlJc w:val="left"/>
      <w:pPr>
        <w:tabs>
          <w:tab w:val="num" w:pos="2880"/>
        </w:tabs>
        <w:ind w:left="2880" w:hanging="360"/>
      </w:pPr>
      <w:rPr>
        <w:rFonts w:ascii="Wingdings" w:hAnsi="Wingdings" w:hint="default"/>
      </w:rPr>
    </w:lvl>
    <w:lvl w:ilvl="4" w:tplc="2A8A563E" w:tentative="1">
      <w:start w:val="1"/>
      <w:numFmt w:val="bullet"/>
      <w:lvlText w:val=""/>
      <w:lvlJc w:val="left"/>
      <w:pPr>
        <w:tabs>
          <w:tab w:val="num" w:pos="3600"/>
        </w:tabs>
        <w:ind w:left="3600" w:hanging="360"/>
      </w:pPr>
      <w:rPr>
        <w:rFonts w:ascii="Wingdings" w:hAnsi="Wingdings" w:hint="default"/>
      </w:rPr>
    </w:lvl>
    <w:lvl w:ilvl="5" w:tplc="074E8D2E" w:tentative="1">
      <w:start w:val="1"/>
      <w:numFmt w:val="bullet"/>
      <w:lvlText w:val=""/>
      <w:lvlJc w:val="left"/>
      <w:pPr>
        <w:tabs>
          <w:tab w:val="num" w:pos="4320"/>
        </w:tabs>
        <w:ind w:left="4320" w:hanging="360"/>
      </w:pPr>
      <w:rPr>
        <w:rFonts w:ascii="Wingdings" w:hAnsi="Wingdings" w:hint="default"/>
      </w:rPr>
    </w:lvl>
    <w:lvl w:ilvl="6" w:tplc="9184D858" w:tentative="1">
      <w:start w:val="1"/>
      <w:numFmt w:val="bullet"/>
      <w:lvlText w:val=""/>
      <w:lvlJc w:val="left"/>
      <w:pPr>
        <w:tabs>
          <w:tab w:val="num" w:pos="5040"/>
        </w:tabs>
        <w:ind w:left="5040" w:hanging="360"/>
      </w:pPr>
      <w:rPr>
        <w:rFonts w:ascii="Wingdings" w:hAnsi="Wingdings" w:hint="default"/>
      </w:rPr>
    </w:lvl>
    <w:lvl w:ilvl="7" w:tplc="38D25AE4" w:tentative="1">
      <w:start w:val="1"/>
      <w:numFmt w:val="bullet"/>
      <w:lvlText w:val=""/>
      <w:lvlJc w:val="left"/>
      <w:pPr>
        <w:tabs>
          <w:tab w:val="num" w:pos="5760"/>
        </w:tabs>
        <w:ind w:left="5760" w:hanging="360"/>
      </w:pPr>
      <w:rPr>
        <w:rFonts w:ascii="Wingdings" w:hAnsi="Wingdings" w:hint="default"/>
      </w:rPr>
    </w:lvl>
    <w:lvl w:ilvl="8" w:tplc="505AF208"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5A0B1658"/>
    <w:multiLevelType w:val="hybridMultilevel"/>
    <w:tmpl w:val="2C8C3C4C"/>
    <w:lvl w:ilvl="0" w:tplc="B2145206">
      <w:start w:val="1"/>
      <w:numFmt w:val="bullet"/>
      <w:lvlText w:val=""/>
      <w:lvlJc w:val="left"/>
      <w:pPr>
        <w:ind w:left="1080" w:hanging="360"/>
      </w:pPr>
      <w:rPr>
        <w:rFonts w:ascii="Wingdings" w:eastAsia="Times New Roman" w:hAnsi="Wingdings"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1" w15:restartNumberingAfterBreak="0">
    <w:nsid w:val="5AF8137E"/>
    <w:multiLevelType w:val="hybridMultilevel"/>
    <w:tmpl w:val="CC14A0E6"/>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5E9E146D"/>
    <w:multiLevelType w:val="hybridMultilevel"/>
    <w:tmpl w:val="80164334"/>
    <w:lvl w:ilvl="0" w:tplc="1FBE0F74">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3" w15:restartNumberingAfterBreak="0">
    <w:nsid w:val="604C1291"/>
    <w:multiLevelType w:val="hybridMultilevel"/>
    <w:tmpl w:val="F7681CB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4" w15:restartNumberingAfterBreak="0">
    <w:nsid w:val="60CE15A6"/>
    <w:multiLevelType w:val="hybridMultilevel"/>
    <w:tmpl w:val="F9B667FA"/>
    <w:lvl w:ilvl="0" w:tplc="7032B0C4">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55" w15:restartNumberingAfterBreak="0">
    <w:nsid w:val="61431685"/>
    <w:multiLevelType w:val="hybridMultilevel"/>
    <w:tmpl w:val="4D065C8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62F23353"/>
    <w:multiLevelType w:val="hybridMultilevel"/>
    <w:tmpl w:val="60FAD07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633412AE"/>
    <w:multiLevelType w:val="hybridMultilevel"/>
    <w:tmpl w:val="BF663DE6"/>
    <w:lvl w:ilvl="0" w:tplc="F684C700">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66A054A5"/>
    <w:multiLevelType w:val="hybridMultilevel"/>
    <w:tmpl w:val="7B80803E"/>
    <w:lvl w:ilvl="0" w:tplc="27E831EA">
      <w:start w:val="1"/>
      <w:numFmt w:val="lowerRoman"/>
      <w:lvlText w:val="(%1)"/>
      <w:lvlJc w:val="left"/>
      <w:pPr>
        <w:tabs>
          <w:tab w:val="num" w:pos="1080"/>
        </w:tabs>
        <w:ind w:left="1080" w:hanging="720"/>
      </w:pPr>
      <w:rPr>
        <w:rFonts w:hint="default"/>
        <w:sz w:val="18"/>
        <w:szCs w:val="18"/>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9" w15:restartNumberingAfterBreak="0">
    <w:nsid w:val="67AE4157"/>
    <w:multiLevelType w:val="hybridMultilevel"/>
    <w:tmpl w:val="D14267CA"/>
    <w:lvl w:ilvl="0" w:tplc="A404B1A0">
      <w:start w:val="1"/>
      <w:numFmt w:val="decimal"/>
      <w:lvlText w:val="%1)"/>
      <w:lvlJc w:val="left"/>
      <w:pPr>
        <w:ind w:left="405" w:hanging="360"/>
      </w:pPr>
      <w:rPr>
        <w:rFonts w:hint="default"/>
      </w:rPr>
    </w:lvl>
    <w:lvl w:ilvl="1" w:tplc="040C0019" w:tentative="1">
      <w:start w:val="1"/>
      <w:numFmt w:val="lowerLetter"/>
      <w:lvlText w:val="%2."/>
      <w:lvlJc w:val="left"/>
      <w:pPr>
        <w:ind w:left="1125" w:hanging="360"/>
      </w:pPr>
    </w:lvl>
    <w:lvl w:ilvl="2" w:tplc="040C001B" w:tentative="1">
      <w:start w:val="1"/>
      <w:numFmt w:val="lowerRoman"/>
      <w:lvlText w:val="%3."/>
      <w:lvlJc w:val="right"/>
      <w:pPr>
        <w:ind w:left="1845" w:hanging="180"/>
      </w:pPr>
    </w:lvl>
    <w:lvl w:ilvl="3" w:tplc="040C000F" w:tentative="1">
      <w:start w:val="1"/>
      <w:numFmt w:val="decimal"/>
      <w:lvlText w:val="%4."/>
      <w:lvlJc w:val="left"/>
      <w:pPr>
        <w:ind w:left="2565" w:hanging="360"/>
      </w:pPr>
    </w:lvl>
    <w:lvl w:ilvl="4" w:tplc="040C0019" w:tentative="1">
      <w:start w:val="1"/>
      <w:numFmt w:val="lowerLetter"/>
      <w:lvlText w:val="%5."/>
      <w:lvlJc w:val="left"/>
      <w:pPr>
        <w:ind w:left="3285" w:hanging="360"/>
      </w:pPr>
    </w:lvl>
    <w:lvl w:ilvl="5" w:tplc="040C001B" w:tentative="1">
      <w:start w:val="1"/>
      <w:numFmt w:val="lowerRoman"/>
      <w:lvlText w:val="%6."/>
      <w:lvlJc w:val="right"/>
      <w:pPr>
        <w:ind w:left="4005" w:hanging="180"/>
      </w:pPr>
    </w:lvl>
    <w:lvl w:ilvl="6" w:tplc="040C000F" w:tentative="1">
      <w:start w:val="1"/>
      <w:numFmt w:val="decimal"/>
      <w:lvlText w:val="%7."/>
      <w:lvlJc w:val="left"/>
      <w:pPr>
        <w:ind w:left="4725" w:hanging="360"/>
      </w:pPr>
    </w:lvl>
    <w:lvl w:ilvl="7" w:tplc="040C0019" w:tentative="1">
      <w:start w:val="1"/>
      <w:numFmt w:val="lowerLetter"/>
      <w:lvlText w:val="%8."/>
      <w:lvlJc w:val="left"/>
      <w:pPr>
        <w:ind w:left="5445" w:hanging="360"/>
      </w:pPr>
    </w:lvl>
    <w:lvl w:ilvl="8" w:tplc="040C001B" w:tentative="1">
      <w:start w:val="1"/>
      <w:numFmt w:val="lowerRoman"/>
      <w:lvlText w:val="%9."/>
      <w:lvlJc w:val="right"/>
      <w:pPr>
        <w:ind w:left="6165" w:hanging="180"/>
      </w:pPr>
    </w:lvl>
  </w:abstractNum>
  <w:abstractNum w:abstractNumId="60" w15:restartNumberingAfterBreak="0">
    <w:nsid w:val="67CB2A72"/>
    <w:multiLevelType w:val="hybridMultilevel"/>
    <w:tmpl w:val="955ECA10"/>
    <w:lvl w:ilvl="0" w:tplc="040C000F">
      <w:start w:val="1"/>
      <w:numFmt w:val="decimal"/>
      <w:lvlText w:val="%1."/>
      <w:lvlJc w:val="left"/>
      <w:pPr>
        <w:ind w:left="1440" w:hanging="360"/>
      </w:pPr>
      <w:rPr>
        <w:rFont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1" w15:restartNumberingAfterBreak="0">
    <w:nsid w:val="681E2458"/>
    <w:multiLevelType w:val="hybridMultilevel"/>
    <w:tmpl w:val="D4C8A7E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2" w15:restartNumberingAfterBreak="0">
    <w:nsid w:val="6CF37076"/>
    <w:multiLevelType w:val="hybridMultilevel"/>
    <w:tmpl w:val="B0E2462A"/>
    <w:lvl w:ilvl="0" w:tplc="4A309F28">
      <w:start w:val="1"/>
      <w:numFmt w:val="decimal"/>
      <w:pStyle w:val="Titre1"/>
      <w:lvlText w:val="%1."/>
      <w:lvlJc w:val="left"/>
      <w:pPr>
        <w:ind w:left="720" w:hanging="360"/>
      </w:pPr>
      <w:rPr>
        <w:b/>
        <w:bCs/>
      </w:rPr>
    </w:lvl>
    <w:lvl w:ilvl="1" w:tplc="7F0ECE96">
      <w:start w:val="1"/>
      <w:numFmt w:val="lowerLetter"/>
      <w:pStyle w:val="Titre2"/>
      <w:lvlText w:val="%2."/>
      <w:lvlJc w:val="left"/>
      <w:pPr>
        <w:ind w:left="1440" w:hanging="360"/>
      </w:pPr>
      <w:rPr>
        <w:sz w:val="28"/>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3" w15:restartNumberingAfterBreak="0">
    <w:nsid w:val="6D936319"/>
    <w:multiLevelType w:val="multilevel"/>
    <w:tmpl w:val="E3C8F374"/>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64" w15:restartNumberingAfterBreak="0">
    <w:nsid w:val="70676969"/>
    <w:multiLevelType w:val="hybridMultilevel"/>
    <w:tmpl w:val="2B7E0A94"/>
    <w:lvl w:ilvl="0" w:tplc="ADF4D6B2">
      <w:start w:val="2019"/>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5" w15:restartNumberingAfterBreak="0">
    <w:nsid w:val="72824105"/>
    <w:multiLevelType w:val="hybridMultilevel"/>
    <w:tmpl w:val="813683AA"/>
    <w:lvl w:ilvl="0" w:tplc="96D03E38">
      <w:start w:val="1"/>
      <w:numFmt w:val="decimal"/>
      <w:lvlText w:val="%1."/>
      <w:lvlJc w:val="left"/>
      <w:pPr>
        <w:ind w:left="720" w:hanging="360"/>
      </w:pPr>
      <w:rPr>
        <w:b/>
        <w:color w:val="2F5496"/>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6" w15:restartNumberingAfterBreak="0">
    <w:nsid w:val="73833C0A"/>
    <w:multiLevelType w:val="hybridMultilevel"/>
    <w:tmpl w:val="1BC23884"/>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7" w15:restartNumberingAfterBreak="0">
    <w:nsid w:val="74470F3B"/>
    <w:multiLevelType w:val="hybridMultilevel"/>
    <w:tmpl w:val="F55084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8" w15:restartNumberingAfterBreak="0">
    <w:nsid w:val="77542F60"/>
    <w:multiLevelType w:val="hybridMultilevel"/>
    <w:tmpl w:val="7DF6C6C2"/>
    <w:lvl w:ilvl="0" w:tplc="8CF8AF70">
      <w:start w:val="3"/>
      <w:numFmt w:val="decimal"/>
      <w:lvlText w:val="%1."/>
      <w:lvlJc w:val="left"/>
      <w:pPr>
        <w:ind w:left="108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9" w15:restartNumberingAfterBreak="0">
    <w:nsid w:val="79241DEF"/>
    <w:multiLevelType w:val="hybridMultilevel"/>
    <w:tmpl w:val="2CA04C5C"/>
    <w:lvl w:ilvl="0" w:tplc="040C000F">
      <w:start w:val="1"/>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0" w15:restartNumberingAfterBreak="0">
    <w:nsid w:val="7A1B3668"/>
    <w:multiLevelType w:val="hybridMultilevel"/>
    <w:tmpl w:val="7DD60022"/>
    <w:lvl w:ilvl="0" w:tplc="040C0001">
      <w:start w:val="1"/>
      <w:numFmt w:val="bullet"/>
      <w:lvlText w:val=""/>
      <w:lvlJc w:val="left"/>
      <w:pPr>
        <w:ind w:left="720" w:hanging="360"/>
      </w:pPr>
      <w:rPr>
        <w:rFonts w:ascii="Symbol" w:hAnsi="Symbol" w:hint="default"/>
      </w:rPr>
    </w:lvl>
    <w:lvl w:ilvl="1" w:tplc="82EC1542">
      <w:numFmt w:val="bullet"/>
      <w:lvlText w:val="•"/>
      <w:lvlJc w:val="left"/>
      <w:pPr>
        <w:ind w:left="1780" w:hanging="700"/>
      </w:pPr>
      <w:rPr>
        <w:rFonts w:ascii="Times New Roman" w:eastAsia="Times New Roma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1" w15:restartNumberingAfterBreak="0">
    <w:nsid w:val="7A9861D7"/>
    <w:multiLevelType w:val="hybridMultilevel"/>
    <w:tmpl w:val="7D1E82CE"/>
    <w:lvl w:ilvl="0" w:tplc="040C0001">
      <w:start w:val="1"/>
      <w:numFmt w:val="bullet"/>
      <w:lvlText w:val=""/>
      <w:lvlJc w:val="left"/>
      <w:pPr>
        <w:tabs>
          <w:tab w:val="num" w:pos="1440"/>
        </w:tabs>
        <w:ind w:left="1440" w:hanging="360"/>
      </w:pPr>
      <w:rPr>
        <w:rFonts w:ascii="Symbol" w:hAnsi="Symbol" w:hint="default"/>
      </w:rPr>
    </w:lvl>
    <w:lvl w:ilvl="1" w:tplc="040C0003" w:tentative="1">
      <w:start w:val="1"/>
      <w:numFmt w:val="bullet"/>
      <w:lvlText w:val="o"/>
      <w:lvlJc w:val="left"/>
      <w:pPr>
        <w:tabs>
          <w:tab w:val="num" w:pos="2160"/>
        </w:tabs>
        <w:ind w:left="2160" w:hanging="360"/>
      </w:pPr>
      <w:rPr>
        <w:rFonts w:ascii="Courier New" w:hAnsi="Courier New" w:cs="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cs="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cs="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72" w15:restartNumberingAfterBreak="0">
    <w:nsid w:val="7AA26CE1"/>
    <w:multiLevelType w:val="hybridMultilevel"/>
    <w:tmpl w:val="7D92F03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3" w15:restartNumberingAfterBreak="0">
    <w:nsid w:val="7D1601EE"/>
    <w:multiLevelType w:val="hybridMultilevel"/>
    <w:tmpl w:val="C960E12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2057241206">
    <w:abstractNumId w:val="6"/>
  </w:num>
  <w:num w:numId="2" w16cid:durableId="1888226628">
    <w:abstractNumId w:val="71"/>
  </w:num>
  <w:num w:numId="3" w16cid:durableId="1368137698">
    <w:abstractNumId w:val="58"/>
  </w:num>
  <w:num w:numId="4" w16cid:durableId="1191067701">
    <w:abstractNumId w:val="56"/>
  </w:num>
  <w:num w:numId="5" w16cid:durableId="1736009301">
    <w:abstractNumId w:val="61"/>
  </w:num>
  <w:num w:numId="6" w16cid:durableId="176624150">
    <w:abstractNumId w:val="14"/>
  </w:num>
  <w:num w:numId="7" w16cid:durableId="1318537889">
    <w:abstractNumId w:val="43"/>
  </w:num>
  <w:num w:numId="8" w16cid:durableId="1345546601">
    <w:abstractNumId w:val="11"/>
  </w:num>
  <w:num w:numId="9" w16cid:durableId="1353416602">
    <w:abstractNumId w:val="3"/>
  </w:num>
  <w:num w:numId="10" w16cid:durableId="1088965215">
    <w:abstractNumId w:val="19"/>
    <w:lvlOverride w:ilvl="0">
      <w:startOverride w:val="1"/>
    </w:lvlOverride>
  </w:num>
  <w:num w:numId="11" w16cid:durableId="1297956907">
    <w:abstractNumId w:val="22"/>
  </w:num>
  <w:num w:numId="12" w16cid:durableId="1995327681">
    <w:abstractNumId w:val="39"/>
  </w:num>
  <w:num w:numId="13" w16cid:durableId="1702433512">
    <w:abstractNumId w:val="18"/>
  </w:num>
  <w:num w:numId="14" w16cid:durableId="1912422561">
    <w:abstractNumId w:val="4"/>
  </w:num>
  <w:num w:numId="15" w16cid:durableId="1058750162">
    <w:abstractNumId w:val="8"/>
  </w:num>
  <w:num w:numId="16" w16cid:durableId="1139417410">
    <w:abstractNumId w:val="51"/>
  </w:num>
  <w:num w:numId="17" w16cid:durableId="2122647817">
    <w:abstractNumId w:val="32"/>
  </w:num>
  <w:num w:numId="18" w16cid:durableId="1617833345">
    <w:abstractNumId w:val="67"/>
  </w:num>
  <w:num w:numId="19" w16cid:durableId="808328432">
    <w:abstractNumId w:val="5"/>
  </w:num>
  <w:num w:numId="20" w16cid:durableId="19550138">
    <w:abstractNumId w:val="50"/>
  </w:num>
  <w:num w:numId="21" w16cid:durableId="1862280186">
    <w:abstractNumId w:val="7"/>
  </w:num>
  <w:num w:numId="22" w16cid:durableId="142891282">
    <w:abstractNumId w:val="48"/>
  </w:num>
  <w:num w:numId="23" w16cid:durableId="947808434">
    <w:abstractNumId w:val="17"/>
  </w:num>
  <w:num w:numId="24" w16cid:durableId="18550021">
    <w:abstractNumId w:val="66"/>
  </w:num>
  <w:num w:numId="25" w16cid:durableId="1473135390">
    <w:abstractNumId w:val="24"/>
  </w:num>
  <w:num w:numId="26" w16cid:durableId="137889450">
    <w:abstractNumId w:val="25"/>
  </w:num>
  <w:num w:numId="27" w16cid:durableId="257373985">
    <w:abstractNumId w:val="13"/>
  </w:num>
  <w:num w:numId="28" w16cid:durableId="1495297922">
    <w:abstractNumId w:val="29"/>
  </w:num>
  <w:num w:numId="29" w16cid:durableId="298346005">
    <w:abstractNumId w:val="40"/>
  </w:num>
  <w:num w:numId="30" w16cid:durableId="1643533591">
    <w:abstractNumId w:val="36"/>
  </w:num>
  <w:num w:numId="31" w16cid:durableId="1977173143">
    <w:abstractNumId w:val="26"/>
  </w:num>
  <w:num w:numId="32" w16cid:durableId="528566169">
    <w:abstractNumId w:val="72"/>
  </w:num>
  <w:num w:numId="33" w16cid:durableId="1946107008">
    <w:abstractNumId w:val="9"/>
  </w:num>
  <w:num w:numId="34" w16cid:durableId="1778133536">
    <w:abstractNumId w:val="21"/>
  </w:num>
  <w:num w:numId="35" w16cid:durableId="548106670">
    <w:abstractNumId w:val="27"/>
  </w:num>
  <w:num w:numId="36" w16cid:durableId="825245736">
    <w:abstractNumId w:val="1"/>
  </w:num>
  <w:num w:numId="37" w16cid:durableId="1030450513">
    <w:abstractNumId w:val="73"/>
  </w:num>
  <w:num w:numId="38" w16cid:durableId="1333488896">
    <w:abstractNumId w:val="12"/>
  </w:num>
  <w:num w:numId="39" w16cid:durableId="948588783">
    <w:abstractNumId w:val="37"/>
  </w:num>
  <w:num w:numId="40" w16cid:durableId="804810075">
    <w:abstractNumId w:val="63"/>
  </w:num>
  <w:num w:numId="41" w16cid:durableId="736900208">
    <w:abstractNumId w:val="45"/>
  </w:num>
  <w:num w:numId="42" w16cid:durableId="1658607709">
    <w:abstractNumId w:val="52"/>
  </w:num>
  <w:num w:numId="43" w16cid:durableId="748774632">
    <w:abstractNumId w:val="46"/>
  </w:num>
  <w:num w:numId="44" w16cid:durableId="2115242878">
    <w:abstractNumId w:val="28"/>
  </w:num>
  <w:num w:numId="45" w16cid:durableId="1591543697">
    <w:abstractNumId w:val="54"/>
  </w:num>
  <w:num w:numId="46" w16cid:durableId="1588074863">
    <w:abstractNumId w:val="33"/>
  </w:num>
  <w:num w:numId="47" w16cid:durableId="1690792628">
    <w:abstractNumId w:val="34"/>
  </w:num>
  <w:num w:numId="48" w16cid:durableId="1175026023">
    <w:abstractNumId w:val="16"/>
  </w:num>
  <w:num w:numId="49" w16cid:durableId="1143886348">
    <w:abstractNumId w:val="57"/>
  </w:num>
  <w:num w:numId="50" w16cid:durableId="422922838">
    <w:abstractNumId w:val="15"/>
  </w:num>
  <w:num w:numId="51" w16cid:durableId="1285968601">
    <w:abstractNumId w:val="68"/>
  </w:num>
  <w:num w:numId="52" w16cid:durableId="1921400774">
    <w:abstractNumId w:val="42"/>
  </w:num>
  <w:num w:numId="53" w16cid:durableId="1653411453">
    <w:abstractNumId w:val="2"/>
  </w:num>
  <w:num w:numId="54" w16cid:durableId="546840823">
    <w:abstractNumId w:val="31"/>
  </w:num>
  <w:num w:numId="55" w16cid:durableId="1105156030">
    <w:abstractNumId w:val="10"/>
  </w:num>
  <w:num w:numId="56" w16cid:durableId="394083692">
    <w:abstractNumId w:val="38"/>
  </w:num>
  <w:num w:numId="57" w16cid:durableId="801507771">
    <w:abstractNumId w:val="69"/>
  </w:num>
  <w:num w:numId="58" w16cid:durableId="2083989392">
    <w:abstractNumId w:val="65"/>
  </w:num>
  <w:num w:numId="59" w16cid:durableId="531380217">
    <w:abstractNumId w:val="64"/>
  </w:num>
  <w:num w:numId="60" w16cid:durableId="1284000665">
    <w:abstractNumId w:val="44"/>
  </w:num>
  <w:num w:numId="61" w16cid:durableId="16005107">
    <w:abstractNumId w:val="70"/>
  </w:num>
  <w:num w:numId="62" w16cid:durableId="1037513285">
    <w:abstractNumId w:val="55"/>
  </w:num>
  <w:num w:numId="63" w16cid:durableId="373846378">
    <w:abstractNumId w:val="59"/>
  </w:num>
  <w:num w:numId="64" w16cid:durableId="407192160">
    <w:abstractNumId w:val="47"/>
  </w:num>
  <w:num w:numId="65" w16cid:durableId="493297175">
    <w:abstractNumId w:val="20"/>
  </w:num>
  <w:num w:numId="66" w16cid:durableId="564922160">
    <w:abstractNumId w:val="30"/>
  </w:num>
  <w:num w:numId="67" w16cid:durableId="253320353">
    <w:abstractNumId w:val="23"/>
  </w:num>
  <w:num w:numId="68" w16cid:durableId="1267227755">
    <w:abstractNumId w:val="41"/>
  </w:num>
  <w:num w:numId="69" w16cid:durableId="1755667191">
    <w:abstractNumId w:val="0"/>
  </w:num>
  <w:num w:numId="70" w16cid:durableId="2079592107">
    <w:abstractNumId w:val="60"/>
  </w:num>
  <w:num w:numId="71" w16cid:durableId="1827549481">
    <w:abstractNumId w:val="62"/>
  </w:num>
  <w:num w:numId="72" w16cid:durableId="929505377">
    <w:abstractNumId w:val="62"/>
  </w:num>
  <w:num w:numId="73" w16cid:durableId="598562837">
    <w:abstractNumId w:val="62"/>
  </w:num>
  <w:num w:numId="74" w16cid:durableId="1461608415">
    <w:abstractNumId w:val="62"/>
  </w:num>
  <w:num w:numId="75" w16cid:durableId="1372346510">
    <w:abstractNumId w:val="62"/>
  </w:num>
  <w:num w:numId="76" w16cid:durableId="771323300">
    <w:abstractNumId w:val="62"/>
  </w:num>
  <w:num w:numId="77" w16cid:durableId="1981615684">
    <w:abstractNumId w:val="62"/>
  </w:num>
  <w:num w:numId="78" w16cid:durableId="1289160925">
    <w:abstractNumId w:val="53"/>
  </w:num>
  <w:num w:numId="79" w16cid:durableId="2074500563">
    <w:abstractNumId w:val="35"/>
  </w:num>
  <w:num w:numId="80" w16cid:durableId="1436436126">
    <w:abstractNumId w:val="49"/>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fr-FR" w:vendorID="64" w:dllVersion="4096" w:nlCheck="1" w:checkStyle="0"/>
  <w:revisionView w:formatting="0" w:inkAnnotations="0"/>
  <w:trackRevisions/>
  <w:defaultTabStop w:val="708"/>
  <w:hyphenationZone w:val="425"/>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3F70"/>
    <w:rsid w:val="0000551B"/>
    <w:rsid w:val="00005D3A"/>
    <w:rsid w:val="0000785C"/>
    <w:rsid w:val="00010B26"/>
    <w:rsid w:val="00020175"/>
    <w:rsid w:val="000214E0"/>
    <w:rsid w:val="000232E9"/>
    <w:rsid w:val="00023407"/>
    <w:rsid w:val="00027A6F"/>
    <w:rsid w:val="000303C6"/>
    <w:rsid w:val="00032E45"/>
    <w:rsid w:val="000368F2"/>
    <w:rsid w:val="000412E2"/>
    <w:rsid w:val="0004193E"/>
    <w:rsid w:val="000441FC"/>
    <w:rsid w:val="0004675A"/>
    <w:rsid w:val="00046E99"/>
    <w:rsid w:val="00053172"/>
    <w:rsid w:val="000549CB"/>
    <w:rsid w:val="00060F55"/>
    <w:rsid w:val="00074E29"/>
    <w:rsid w:val="00081C06"/>
    <w:rsid w:val="000838ED"/>
    <w:rsid w:val="0008392A"/>
    <w:rsid w:val="000853F8"/>
    <w:rsid w:val="00086396"/>
    <w:rsid w:val="0009310F"/>
    <w:rsid w:val="000A0FC5"/>
    <w:rsid w:val="000A1553"/>
    <w:rsid w:val="000A6C6D"/>
    <w:rsid w:val="000B05CB"/>
    <w:rsid w:val="000B35A4"/>
    <w:rsid w:val="000B4029"/>
    <w:rsid w:val="000B5E82"/>
    <w:rsid w:val="000C163B"/>
    <w:rsid w:val="000C2195"/>
    <w:rsid w:val="000C2771"/>
    <w:rsid w:val="000C3C6E"/>
    <w:rsid w:val="000C3F1D"/>
    <w:rsid w:val="000C4565"/>
    <w:rsid w:val="000D0F81"/>
    <w:rsid w:val="000D6C61"/>
    <w:rsid w:val="000E11B7"/>
    <w:rsid w:val="000F1A1C"/>
    <w:rsid w:val="000F47E4"/>
    <w:rsid w:val="000F62CD"/>
    <w:rsid w:val="000F663A"/>
    <w:rsid w:val="000F79F7"/>
    <w:rsid w:val="0010415C"/>
    <w:rsid w:val="00104E6B"/>
    <w:rsid w:val="001108A6"/>
    <w:rsid w:val="00113F4D"/>
    <w:rsid w:val="00114478"/>
    <w:rsid w:val="001165D8"/>
    <w:rsid w:val="00126F74"/>
    <w:rsid w:val="001345DA"/>
    <w:rsid w:val="00135025"/>
    <w:rsid w:val="00135F3B"/>
    <w:rsid w:val="00140E01"/>
    <w:rsid w:val="0014153F"/>
    <w:rsid w:val="00141AE9"/>
    <w:rsid w:val="00145580"/>
    <w:rsid w:val="00151CD1"/>
    <w:rsid w:val="00152785"/>
    <w:rsid w:val="0016301B"/>
    <w:rsid w:val="00165674"/>
    <w:rsid w:val="00165D85"/>
    <w:rsid w:val="00175D15"/>
    <w:rsid w:val="0018455E"/>
    <w:rsid w:val="001921A0"/>
    <w:rsid w:val="00192A77"/>
    <w:rsid w:val="00192C2A"/>
    <w:rsid w:val="00194FF9"/>
    <w:rsid w:val="001A0C97"/>
    <w:rsid w:val="001A1B94"/>
    <w:rsid w:val="001A41D6"/>
    <w:rsid w:val="001A5B06"/>
    <w:rsid w:val="001B0F84"/>
    <w:rsid w:val="001B13B0"/>
    <w:rsid w:val="001B45E0"/>
    <w:rsid w:val="001B472C"/>
    <w:rsid w:val="001C1C03"/>
    <w:rsid w:val="001C2DF8"/>
    <w:rsid w:val="001C2E95"/>
    <w:rsid w:val="001D4A64"/>
    <w:rsid w:val="001D7B9F"/>
    <w:rsid w:val="001D7F63"/>
    <w:rsid w:val="001E2D60"/>
    <w:rsid w:val="001E2EF4"/>
    <w:rsid w:val="001F611B"/>
    <w:rsid w:val="00202C92"/>
    <w:rsid w:val="00210781"/>
    <w:rsid w:val="0021216F"/>
    <w:rsid w:val="00212291"/>
    <w:rsid w:val="00216124"/>
    <w:rsid w:val="00220FEF"/>
    <w:rsid w:val="00221479"/>
    <w:rsid w:val="00222B95"/>
    <w:rsid w:val="00224847"/>
    <w:rsid w:val="0023046D"/>
    <w:rsid w:val="002307EC"/>
    <w:rsid w:val="00232D3E"/>
    <w:rsid w:val="00232DE9"/>
    <w:rsid w:val="00236598"/>
    <w:rsid w:val="00236970"/>
    <w:rsid w:val="002539C7"/>
    <w:rsid w:val="002560EF"/>
    <w:rsid w:val="00266A49"/>
    <w:rsid w:val="0027029B"/>
    <w:rsid w:val="002713DD"/>
    <w:rsid w:val="002714CE"/>
    <w:rsid w:val="00272FEB"/>
    <w:rsid w:val="00274FA4"/>
    <w:rsid w:val="00275D8E"/>
    <w:rsid w:val="00276C13"/>
    <w:rsid w:val="0028019F"/>
    <w:rsid w:val="002801E6"/>
    <w:rsid w:val="002821DB"/>
    <w:rsid w:val="00290730"/>
    <w:rsid w:val="002915F8"/>
    <w:rsid w:val="00295684"/>
    <w:rsid w:val="002A0472"/>
    <w:rsid w:val="002A5FF6"/>
    <w:rsid w:val="002B168B"/>
    <w:rsid w:val="002B1978"/>
    <w:rsid w:val="002B5EB2"/>
    <w:rsid w:val="002C0ABB"/>
    <w:rsid w:val="002C350D"/>
    <w:rsid w:val="002C6B87"/>
    <w:rsid w:val="002D02A4"/>
    <w:rsid w:val="002D3973"/>
    <w:rsid w:val="002D51EF"/>
    <w:rsid w:val="002D6EAC"/>
    <w:rsid w:val="002D78BA"/>
    <w:rsid w:val="002E0989"/>
    <w:rsid w:val="002E2269"/>
    <w:rsid w:val="002E4E8C"/>
    <w:rsid w:val="002E535C"/>
    <w:rsid w:val="002F21B1"/>
    <w:rsid w:val="002F2FD2"/>
    <w:rsid w:val="002F3FF3"/>
    <w:rsid w:val="002F61B9"/>
    <w:rsid w:val="002F7BB3"/>
    <w:rsid w:val="00301703"/>
    <w:rsid w:val="00304B06"/>
    <w:rsid w:val="00305357"/>
    <w:rsid w:val="00306E5E"/>
    <w:rsid w:val="00314C81"/>
    <w:rsid w:val="00333EEF"/>
    <w:rsid w:val="0034266E"/>
    <w:rsid w:val="003451BE"/>
    <w:rsid w:val="0034730B"/>
    <w:rsid w:val="00351124"/>
    <w:rsid w:val="00353EAA"/>
    <w:rsid w:val="00354EE5"/>
    <w:rsid w:val="00360EFC"/>
    <w:rsid w:val="00362326"/>
    <w:rsid w:val="003749A3"/>
    <w:rsid w:val="0037648A"/>
    <w:rsid w:val="0037680F"/>
    <w:rsid w:val="003775E6"/>
    <w:rsid w:val="00380B93"/>
    <w:rsid w:val="00383FF1"/>
    <w:rsid w:val="00385272"/>
    <w:rsid w:val="00385F0E"/>
    <w:rsid w:val="003862B3"/>
    <w:rsid w:val="00394249"/>
    <w:rsid w:val="0039769D"/>
    <w:rsid w:val="003A0C9B"/>
    <w:rsid w:val="003A307D"/>
    <w:rsid w:val="003A57F0"/>
    <w:rsid w:val="003A6D73"/>
    <w:rsid w:val="003B03B4"/>
    <w:rsid w:val="003B3DF4"/>
    <w:rsid w:val="003B5875"/>
    <w:rsid w:val="003B6B8C"/>
    <w:rsid w:val="003C12E8"/>
    <w:rsid w:val="003C2E9D"/>
    <w:rsid w:val="003C49F7"/>
    <w:rsid w:val="003C5EE9"/>
    <w:rsid w:val="003C6463"/>
    <w:rsid w:val="003C682E"/>
    <w:rsid w:val="003D22F5"/>
    <w:rsid w:val="003D3142"/>
    <w:rsid w:val="003D5F74"/>
    <w:rsid w:val="003D6490"/>
    <w:rsid w:val="003E1AEF"/>
    <w:rsid w:val="003E4EE3"/>
    <w:rsid w:val="003E5854"/>
    <w:rsid w:val="0040338E"/>
    <w:rsid w:val="004033B8"/>
    <w:rsid w:val="00404280"/>
    <w:rsid w:val="004054AB"/>
    <w:rsid w:val="0040717B"/>
    <w:rsid w:val="00407B05"/>
    <w:rsid w:val="004103CF"/>
    <w:rsid w:val="004139F6"/>
    <w:rsid w:val="00413B14"/>
    <w:rsid w:val="0041525F"/>
    <w:rsid w:val="004208CF"/>
    <w:rsid w:val="004248A9"/>
    <w:rsid w:val="00424C89"/>
    <w:rsid w:val="0042713B"/>
    <w:rsid w:val="00430532"/>
    <w:rsid w:val="004424AC"/>
    <w:rsid w:val="00444A8E"/>
    <w:rsid w:val="00444CAE"/>
    <w:rsid w:val="00447082"/>
    <w:rsid w:val="00447DA3"/>
    <w:rsid w:val="00450BEF"/>
    <w:rsid w:val="004520BF"/>
    <w:rsid w:val="004525BC"/>
    <w:rsid w:val="00454BC8"/>
    <w:rsid w:val="00457AE4"/>
    <w:rsid w:val="00460EBB"/>
    <w:rsid w:val="004643C9"/>
    <w:rsid w:val="00465FCB"/>
    <w:rsid w:val="004676D2"/>
    <w:rsid w:val="00467B26"/>
    <w:rsid w:val="00471C1D"/>
    <w:rsid w:val="0047214E"/>
    <w:rsid w:val="00477FCB"/>
    <w:rsid w:val="00482C13"/>
    <w:rsid w:val="0048523B"/>
    <w:rsid w:val="00485AD9"/>
    <w:rsid w:val="00486BD7"/>
    <w:rsid w:val="00490961"/>
    <w:rsid w:val="0049475C"/>
    <w:rsid w:val="004A4BD4"/>
    <w:rsid w:val="004A605B"/>
    <w:rsid w:val="004A71AB"/>
    <w:rsid w:val="004A72AF"/>
    <w:rsid w:val="004A7FC9"/>
    <w:rsid w:val="004B13F5"/>
    <w:rsid w:val="004B15CC"/>
    <w:rsid w:val="004B5F26"/>
    <w:rsid w:val="004B7AE0"/>
    <w:rsid w:val="004C0591"/>
    <w:rsid w:val="004C0D7D"/>
    <w:rsid w:val="004C2838"/>
    <w:rsid w:val="004C4EFA"/>
    <w:rsid w:val="004D18B3"/>
    <w:rsid w:val="004D33B9"/>
    <w:rsid w:val="004E08C4"/>
    <w:rsid w:val="004E5E15"/>
    <w:rsid w:val="004F08E1"/>
    <w:rsid w:val="004F1407"/>
    <w:rsid w:val="004F493D"/>
    <w:rsid w:val="004F6525"/>
    <w:rsid w:val="004F758B"/>
    <w:rsid w:val="005017F1"/>
    <w:rsid w:val="005060C0"/>
    <w:rsid w:val="00506CBF"/>
    <w:rsid w:val="0051519C"/>
    <w:rsid w:val="005231E3"/>
    <w:rsid w:val="00524D41"/>
    <w:rsid w:val="005434E9"/>
    <w:rsid w:val="00543B32"/>
    <w:rsid w:val="005461D4"/>
    <w:rsid w:val="005502C7"/>
    <w:rsid w:val="0055241B"/>
    <w:rsid w:val="005565F8"/>
    <w:rsid w:val="00560E86"/>
    <w:rsid w:val="00562D22"/>
    <w:rsid w:val="00564EEE"/>
    <w:rsid w:val="00564FE7"/>
    <w:rsid w:val="005712B3"/>
    <w:rsid w:val="005771B2"/>
    <w:rsid w:val="00577ED9"/>
    <w:rsid w:val="0058724E"/>
    <w:rsid w:val="00587F49"/>
    <w:rsid w:val="00590007"/>
    <w:rsid w:val="00590411"/>
    <w:rsid w:val="005922DA"/>
    <w:rsid w:val="005927E0"/>
    <w:rsid w:val="00594F90"/>
    <w:rsid w:val="00595B93"/>
    <w:rsid w:val="005961FF"/>
    <w:rsid w:val="005A1F25"/>
    <w:rsid w:val="005A364A"/>
    <w:rsid w:val="005A73E9"/>
    <w:rsid w:val="005B37BB"/>
    <w:rsid w:val="005B413E"/>
    <w:rsid w:val="005B501B"/>
    <w:rsid w:val="005B666A"/>
    <w:rsid w:val="005C0E31"/>
    <w:rsid w:val="005C2AC6"/>
    <w:rsid w:val="005C2CE3"/>
    <w:rsid w:val="005C49DF"/>
    <w:rsid w:val="005D14C6"/>
    <w:rsid w:val="005D278B"/>
    <w:rsid w:val="005D6197"/>
    <w:rsid w:val="005D76EB"/>
    <w:rsid w:val="005E0F50"/>
    <w:rsid w:val="005E0FBC"/>
    <w:rsid w:val="005E375C"/>
    <w:rsid w:val="005E7C7F"/>
    <w:rsid w:val="005F20E1"/>
    <w:rsid w:val="005F2C9D"/>
    <w:rsid w:val="005F4275"/>
    <w:rsid w:val="005F673B"/>
    <w:rsid w:val="005F6B1B"/>
    <w:rsid w:val="00602F87"/>
    <w:rsid w:val="00603C11"/>
    <w:rsid w:val="00603C5F"/>
    <w:rsid w:val="006100A1"/>
    <w:rsid w:val="006110FC"/>
    <w:rsid w:val="006137D3"/>
    <w:rsid w:val="006151E7"/>
    <w:rsid w:val="0061672D"/>
    <w:rsid w:val="006212B9"/>
    <w:rsid w:val="006215E2"/>
    <w:rsid w:val="00622312"/>
    <w:rsid w:val="0062587C"/>
    <w:rsid w:val="006264E8"/>
    <w:rsid w:val="006273B4"/>
    <w:rsid w:val="00627D94"/>
    <w:rsid w:val="00630082"/>
    <w:rsid w:val="006404BF"/>
    <w:rsid w:val="00645C03"/>
    <w:rsid w:val="006475A6"/>
    <w:rsid w:val="00650660"/>
    <w:rsid w:val="00653E19"/>
    <w:rsid w:val="0065484B"/>
    <w:rsid w:val="00654D18"/>
    <w:rsid w:val="00654E10"/>
    <w:rsid w:val="006613CF"/>
    <w:rsid w:val="0066399A"/>
    <w:rsid w:val="00664472"/>
    <w:rsid w:val="00665042"/>
    <w:rsid w:val="00665CD9"/>
    <w:rsid w:val="00671053"/>
    <w:rsid w:val="0067416A"/>
    <w:rsid w:val="00675B7C"/>
    <w:rsid w:val="006876CE"/>
    <w:rsid w:val="0069339D"/>
    <w:rsid w:val="0069356D"/>
    <w:rsid w:val="006936CE"/>
    <w:rsid w:val="006A13D6"/>
    <w:rsid w:val="006A3B80"/>
    <w:rsid w:val="006A41FF"/>
    <w:rsid w:val="006A5A36"/>
    <w:rsid w:val="006A782E"/>
    <w:rsid w:val="006B0223"/>
    <w:rsid w:val="006B18FE"/>
    <w:rsid w:val="006B2873"/>
    <w:rsid w:val="006B3459"/>
    <w:rsid w:val="006B3917"/>
    <w:rsid w:val="006B5009"/>
    <w:rsid w:val="006B6AF1"/>
    <w:rsid w:val="006C1AA7"/>
    <w:rsid w:val="006C38A4"/>
    <w:rsid w:val="006C616A"/>
    <w:rsid w:val="006C7745"/>
    <w:rsid w:val="006E0178"/>
    <w:rsid w:val="006E1D03"/>
    <w:rsid w:val="006E23E0"/>
    <w:rsid w:val="006E6156"/>
    <w:rsid w:val="006E7585"/>
    <w:rsid w:val="006F394E"/>
    <w:rsid w:val="006F5572"/>
    <w:rsid w:val="006F6DA6"/>
    <w:rsid w:val="00700755"/>
    <w:rsid w:val="007009B0"/>
    <w:rsid w:val="007133C5"/>
    <w:rsid w:val="00715499"/>
    <w:rsid w:val="00723015"/>
    <w:rsid w:val="00724B71"/>
    <w:rsid w:val="007272C9"/>
    <w:rsid w:val="00730AAC"/>
    <w:rsid w:val="00731DEC"/>
    <w:rsid w:val="00734758"/>
    <w:rsid w:val="00743A1B"/>
    <w:rsid w:val="007467B6"/>
    <w:rsid w:val="00750EC3"/>
    <w:rsid w:val="00753428"/>
    <w:rsid w:val="00753959"/>
    <w:rsid w:val="007574DC"/>
    <w:rsid w:val="00760CF3"/>
    <w:rsid w:val="00760F1B"/>
    <w:rsid w:val="00761FAC"/>
    <w:rsid w:val="00774664"/>
    <w:rsid w:val="00774DCA"/>
    <w:rsid w:val="00776889"/>
    <w:rsid w:val="00776BF6"/>
    <w:rsid w:val="007772C9"/>
    <w:rsid w:val="00780D23"/>
    <w:rsid w:val="00786386"/>
    <w:rsid w:val="007948DE"/>
    <w:rsid w:val="0079651B"/>
    <w:rsid w:val="00797F8B"/>
    <w:rsid w:val="007A53C8"/>
    <w:rsid w:val="007A6351"/>
    <w:rsid w:val="007A6C4C"/>
    <w:rsid w:val="007A721C"/>
    <w:rsid w:val="007B4F92"/>
    <w:rsid w:val="007C00A5"/>
    <w:rsid w:val="007C261F"/>
    <w:rsid w:val="007C28DC"/>
    <w:rsid w:val="007D01A4"/>
    <w:rsid w:val="007D0887"/>
    <w:rsid w:val="007D37F9"/>
    <w:rsid w:val="007D3814"/>
    <w:rsid w:val="007D3D2F"/>
    <w:rsid w:val="007E10D1"/>
    <w:rsid w:val="007E62B5"/>
    <w:rsid w:val="007E7A0B"/>
    <w:rsid w:val="007F058B"/>
    <w:rsid w:val="007F6451"/>
    <w:rsid w:val="008003F4"/>
    <w:rsid w:val="00800678"/>
    <w:rsid w:val="0080108A"/>
    <w:rsid w:val="00802DEB"/>
    <w:rsid w:val="00802E1A"/>
    <w:rsid w:val="00804A4B"/>
    <w:rsid w:val="00805FA2"/>
    <w:rsid w:val="00807332"/>
    <w:rsid w:val="00810F86"/>
    <w:rsid w:val="00811240"/>
    <w:rsid w:val="0081163E"/>
    <w:rsid w:val="00813076"/>
    <w:rsid w:val="00813282"/>
    <w:rsid w:val="00813587"/>
    <w:rsid w:val="00815E38"/>
    <w:rsid w:val="00816AE8"/>
    <w:rsid w:val="00820B1D"/>
    <w:rsid w:val="00822BC3"/>
    <w:rsid w:val="00824436"/>
    <w:rsid w:val="00824942"/>
    <w:rsid w:val="00831190"/>
    <w:rsid w:val="0083173E"/>
    <w:rsid w:val="0083483F"/>
    <w:rsid w:val="00835B44"/>
    <w:rsid w:val="00837BD2"/>
    <w:rsid w:val="00843C53"/>
    <w:rsid w:val="008470A6"/>
    <w:rsid w:val="008477D2"/>
    <w:rsid w:val="00851981"/>
    <w:rsid w:val="0085504C"/>
    <w:rsid w:val="008554CC"/>
    <w:rsid w:val="008555A2"/>
    <w:rsid w:val="008566E8"/>
    <w:rsid w:val="00860D46"/>
    <w:rsid w:val="008624B3"/>
    <w:rsid w:val="00863F70"/>
    <w:rsid w:val="008666F1"/>
    <w:rsid w:val="008715B8"/>
    <w:rsid w:val="00871987"/>
    <w:rsid w:val="00871E50"/>
    <w:rsid w:val="00874DD3"/>
    <w:rsid w:val="00875D74"/>
    <w:rsid w:val="008805C5"/>
    <w:rsid w:val="00883CD7"/>
    <w:rsid w:val="00886427"/>
    <w:rsid w:val="00890596"/>
    <w:rsid w:val="0089296D"/>
    <w:rsid w:val="00893B48"/>
    <w:rsid w:val="008A1D30"/>
    <w:rsid w:val="008A510A"/>
    <w:rsid w:val="008A6B46"/>
    <w:rsid w:val="008B04C7"/>
    <w:rsid w:val="008B6D16"/>
    <w:rsid w:val="008B7CE5"/>
    <w:rsid w:val="008B7DF3"/>
    <w:rsid w:val="008B7F99"/>
    <w:rsid w:val="008C1836"/>
    <w:rsid w:val="008C1AC3"/>
    <w:rsid w:val="008C429E"/>
    <w:rsid w:val="008D0AD5"/>
    <w:rsid w:val="008D10F1"/>
    <w:rsid w:val="008D6AFC"/>
    <w:rsid w:val="008D76CF"/>
    <w:rsid w:val="008E3CED"/>
    <w:rsid w:val="008E3ECB"/>
    <w:rsid w:val="008F6FF2"/>
    <w:rsid w:val="00901EEB"/>
    <w:rsid w:val="009103E5"/>
    <w:rsid w:val="00910CB0"/>
    <w:rsid w:val="00911EE1"/>
    <w:rsid w:val="0091479A"/>
    <w:rsid w:val="00916CA7"/>
    <w:rsid w:val="00921324"/>
    <w:rsid w:val="0092381A"/>
    <w:rsid w:val="0092615B"/>
    <w:rsid w:val="00933145"/>
    <w:rsid w:val="00934CFC"/>
    <w:rsid w:val="00937F73"/>
    <w:rsid w:val="009404BD"/>
    <w:rsid w:val="009448DE"/>
    <w:rsid w:val="0094632E"/>
    <w:rsid w:val="0095174B"/>
    <w:rsid w:val="0095459A"/>
    <w:rsid w:val="009617C0"/>
    <w:rsid w:val="00962568"/>
    <w:rsid w:val="00965EDA"/>
    <w:rsid w:val="009678BE"/>
    <w:rsid w:val="00967BC8"/>
    <w:rsid w:val="009831AC"/>
    <w:rsid w:val="00983F7C"/>
    <w:rsid w:val="00984630"/>
    <w:rsid w:val="00990F4A"/>
    <w:rsid w:val="00992296"/>
    <w:rsid w:val="0099254F"/>
    <w:rsid w:val="009A6DFA"/>
    <w:rsid w:val="009A79A4"/>
    <w:rsid w:val="009C2A65"/>
    <w:rsid w:val="009C7AA6"/>
    <w:rsid w:val="009D4F74"/>
    <w:rsid w:val="009F0BB6"/>
    <w:rsid w:val="009F1B80"/>
    <w:rsid w:val="009F2A2A"/>
    <w:rsid w:val="009F39EC"/>
    <w:rsid w:val="009F4F47"/>
    <w:rsid w:val="009F6E2C"/>
    <w:rsid w:val="009F6EA1"/>
    <w:rsid w:val="009F7D1C"/>
    <w:rsid w:val="00A03D54"/>
    <w:rsid w:val="00A0509B"/>
    <w:rsid w:val="00A21C98"/>
    <w:rsid w:val="00A2392A"/>
    <w:rsid w:val="00A259FB"/>
    <w:rsid w:val="00A354FF"/>
    <w:rsid w:val="00A37FC5"/>
    <w:rsid w:val="00A45E3C"/>
    <w:rsid w:val="00A53E2E"/>
    <w:rsid w:val="00A55158"/>
    <w:rsid w:val="00A573F6"/>
    <w:rsid w:val="00A61D13"/>
    <w:rsid w:val="00A61DF2"/>
    <w:rsid w:val="00A6712E"/>
    <w:rsid w:val="00A672FE"/>
    <w:rsid w:val="00A70DE1"/>
    <w:rsid w:val="00A718F6"/>
    <w:rsid w:val="00A73CF4"/>
    <w:rsid w:val="00A7793F"/>
    <w:rsid w:val="00A77EE9"/>
    <w:rsid w:val="00A80CBC"/>
    <w:rsid w:val="00A82542"/>
    <w:rsid w:val="00A84536"/>
    <w:rsid w:val="00A94CD6"/>
    <w:rsid w:val="00A950D3"/>
    <w:rsid w:val="00A9571B"/>
    <w:rsid w:val="00A960A1"/>
    <w:rsid w:val="00A97117"/>
    <w:rsid w:val="00AA0290"/>
    <w:rsid w:val="00AA4790"/>
    <w:rsid w:val="00AA5079"/>
    <w:rsid w:val="00AB21AF"/>
    <w:rsid w:val="00AB3603"/>
    <w:rsid w:val="00AB541A"/>
    <w:rsid w:val="00AC1DCD"/>
    <w:rsid w:val="00AC6996"/>
    <w:rsid w:val="00AC7DBF"/>
    <w:rsid w:val="00AD3305"/>
    <w:rsid w:val="00AD766C"/>
    <w:rsid w:val="00AD77F3"/>
    <w:rsid w:val="00AE1486"/>
    <w:rsid w:val="00AE3C8D"/>
    <w:rsid w:val="00AE725D"/>
    <w:rsid w:val="00AE7982"/>
    <w:rsid w:val="00AF1D3E"/>
    <w:rsid w:val="00AF1FD0"/>
    <w:rsid w:val="00AF2770"/>
    <w:rsid w:val="00AF3493"/>
    <w:rsid w:val="00AF36E8"/>
    <w:rsid w:val="00AF48F7"/>
    <w:rsid w:val="00AF4CAE"/>
    <w:rsid w:val="00B0159B"/>
    <w:rsid w:val="00B01A91"/>
    <w:rsid w:val="00B11DAD"/>
    <w:rsid w:val="00B16066"/>
    <w:rsid w:val="00B16CDE"/>
    <w:rsid w:val="00B17BAE"/>
    <w:rsid w:val="00B25050"/>
    <w:rsid w:val="00B25EED"/>
    <w:rsid w:val="00B266EB"/>
    <w:rsid w:val="00B302E0"/>
    <w:rsid w:val="00B30368"/>
    <w:rsid w:val="00B30662"/>
    <w:rsid w:val="00B32C6E"/>
    <w:rsid w:val="00B32E66"/>
    <w:rsid w:val="00B33BE1"/>
    <w:rsid w:val="00B42F7C"/>
    <w:rsid w:val="00B50452"/>
    <w:rsid w:val="00B505B8"/>
    <w:rsid w:val="00B51050"/>
    <w:rsid w:val="00B542D9"/>
    <w:rsid w:val="00B57C09"/>
    <w:rsid w:val="00B60467"/>
    <w:rsid w:val="00B64209"/>
    <w:rsid w:val="00B6522B"/>
    <w:rsid w:val="00B709BF"/>
    <w:rsid w:val="00B738E6"/>
    <w:rsid w:val="00B749ED"/>
    <w:rsid w:val="00B74D45"/>
    <w:rsid w:val="00B75365"/>
    <w:rsid w:val="00B8081F"/>
    <w:rsid w:val="00B83D70"/>
    <w:rsid w:val="00B843B1"/>
    <w:rsid w:val="00B86FE6"/>
    <w:rsid w:val="00B90071"/>
    <w:rsid w:val="00B929DB"/>
    <w:rsid w:val="00B939DB"/>
    <w:rsid w:val="00B94A51"/>
    <w:rsid w:val="00B94B93"/>
    <w:rsid w:val="00BA3D67"/>
    <w:rsid w:val="00BA4412"/>
    <w:rsid w:val="00BB0AE1"/>
    <w:rsid w:val="00BB3DE0"/>
    <w:rsid w:val="00BB74A5"/>
    <w:rsid w:val="00BB796E"/>
    <w:rsid w:val="00BC7BDB"/>
    <w:rsid w:val="00BD46A5"/>
    <w:rsid w:val="00BD6B11"/>
    <w:rsid w:val="00BF53EB"/>
    <w:rsid w:val="00C03022"/>
    <w:rsid w:val="00C050AB"/>
    <w:rsid w:val="00C050D7"/>
    <w:rsid w:val="00C06375"/>
    <w:rsid w:val="00C11335"/>
    <w:rsid w:val="00C1614E"/>
    <w:rsid w:val="00C17A1F"/>
    <w:rsid w:val="00C23C25"/>
    <w:rsid w:val="00C24B0F"/>
    <w:rsid w:val="00C25BF3"/>
    <w:rsid w:val="00C33A1A"/>
    <w:rsid w:val="00C34563"/>
    <w:rsid w:val="00C34569"/>
    <w:rsid w:val="00C34874"/>
    <w:rsid w:val="00C3565E"/>
    <w:rsid w:val="00C35833"/>
    <w:rsid w:val="00C3775E"/>
    <w:rsid w:val="00C44349"/>
    <w:rsid w:val="00C452C4"/>
    <w:rsid w:val="00C47F7E"/>
    <w:rsid w:val="00C52C9A"/>
    <w:rsid w:val="00C54595"/>
    <w:rsid w:val="00C546CB"/>
    <w:rsid w:val="00C54E4E"/>
    <w:rsid w:val="00C55EBD"/>
    <w:rsid w:val="00C627EA"/>
    <w:rsid w:val="00C62C8E"/>
    <w:rsid w:val="00C64702"/>
    <w:rsid w:val="00C66825"/>
    <w:rsid w:val="00C66EC3"/>
    <w:rsid w:val="00C66F47"/>
    <w:rsid w:val="00C71E3E"/>
    <w:rsid w:val="00C81485"/>
    <w:rsid w:val="00C829CC"/>
    <w:rsid w:val="00C84436"/>
    <w:rsid w:val="00C879E0"/>
    <w:rsid w:val="00C91B68"/>
    <w:rsid w:val="00C92439"/>
    <w:rsid w:val="00C92788"/>
    <w:rsid w:val="00C94C9F"/>
    <w:rsid w:val="00C96A2F"/>
    <w:rsid w:val="00C974CA"/>
    <w:rsid w:val="00CA374D"/>
    <w:rsid w:val="00CA60BA"/>
    <w:rsid w:val="00CB07E1"/>
    <w:rsid w:val="00CB498D"/>
    <w:rsid w:val="00CC247C"/>
    <w:rsid w:val="00CC3352"/>
    <w:rsid w:val="00CC5610"/>
    <w:rsid w:val="00CD014A"/>
    <w:rsid w:val="00CE3704"/>
    <w:rsid w:val="00CE52F7"/>
    <w:rsid w:val="00CF0B7A"/>
    <w:rsid w:val="00CF744E"/>
    <w:rsid w:val="00D0477B"/>
    <w:rsid w:val="00D055EF"/>
    <w:rsid w:val="00D10E5A"/>
    <w:rsid w:val="00D16320"/>
    <w:rsid w:val="00D16BDC"/>
    <w:rsid w:val="00D17C25"/>
    <w:rsid w:val="00D21C04"/>
    <w:rsid w:val="00D3185A"/>
    <w:rsid w:val="00D3202C"/>
    <w:rsid w:val="00D367C4"/>
    <w:rsid w:val="00D52695"/>
    <w:rsid w:val="00D53E6D"/>
    <w:rsid w:val="00D55AEB"/>
    <w:rsid w:val="00D55D80"/>
    <w:rsid w:val="00D6053B"/>
    <w:rsid w:val="00D6185B"/>
    <w:rsid w:val="00D61BE2"/>
    <w:rsid w:val="00D62497"/>
    <w:rsid w:val="00D633C7"/>
    <w:rsid w:val="00D65CC2"/>
    <w:rsid w:val="00D72D29"/>
    <w:rsid w:val="00D767BD"/>
    <w:rsid w:val="00D77C6A"/>
    <w:rsid w:val="00D8422C"/>
    <w:rsid w:val="00D8465A"/>
    <w:rsid w:val="00D9607F"/>
    <w:rsid w:val="00DA4E4B"/>
    <w:rsid w:val="00DA5BA2"/>
    <w:rsid w:val="00DA6783"/>
    <w:rsid w:val="00DB4910"/>
    <w:rsid w:val="00DB51E9"/>
    <w:rsid w:val="00DB5A2D"/>
    <w:rsid w:val="00DB5BAF"/>
    <w:rsid w:val="00DC14DB"/>
    <w:rsid w:val="00DC5CD0"/>
    <w:rsid w:val="00DD0785"/>
    <w:rsid w:val="00DD0E1C"/>
    <w:rsid w:val="00DD22A4"/>
    <w:rsid w:val="00DE02CD"/>
    <w:rsid w:val="00DE1511"/>
    <w:rsid w:val="00DE2037"/>
    <w:rsid w:val="00DE2B75"/>
    <w:rsid w:val="00DE2BD3"/>
    <w:rsid w:val="00DE2BF5"/>
    <w:rsid w:val="00DE558D"/>
    <w:rsid w:val="00DF0166"/>
    <w:rsid w:val="00DF2C18"/>
    <w:rsid w:val="00DF389D"/>
    <w:rsid w:val="00DF3DED"/>
    <w:rsid w:val="00E00407"/>
    <w:rsid w:val="00E0543B"/>
    <w:rsid w:val="00E0754E"/>
    <w:rsid w:val="00E10471"/>
    <w:rsid w:val="00E111A9"/>
    <w:rsid w:val="00E15C58"/>
    <w:rsid w:val="00E1602F"/>
    <w:rsid w:val="00E21FDA"/>
    <w:rsid w:val="00E23197"/>
    <w:rsid w:val="00E240BF"/>
    <w:rsid w:val="00E254A2"/>
    <w:rsid w:val="00E3135F"/>
    <w:rsid w:val="00E352DA"/>
    <w:rsid w:val="00E373A0"/>
    <w:rsid w:val="00E37592"/>
    <w:rsid w:val="00E37C2A"/>
    <w:rsid w:val="00E407C2"/>
    <w:rsid w:val="00E417B6"/>
    <w:rsid w:val="00E445BF"/>
    <w:rsid w:val="00E46D41"/>
    <w:rsid w:val="00E46FA6"/>
    <w:rsid w:val="00E475B8"/>
    <w:rsid w:val="00E50981"/>
    <w:rsid w:val="00E5607A"/>
    <w:rsid w:val="00E561DD"/>
    <w:rsid w:val="00E576A0"/>
    <w:rsid w:val="00E60BC8"/>
    <w:rsid w:val="00E61079"/>
    <w:rsid w:val="00E62A94"/>
    <w:rsid w:val="00E640BF"/>
    <w:rsid w:val="00E642DC"/>
    <w:rsid w:val="00E6650D"/>
    <w:rsid w:val="00E708D2"/>
    <w:rsid w:val="00E7124C"/>
    <w:rsid w:val="00E72F8D"/>
    <w:rsid w:val="00E733DB"/>
    <w:rsid w:val="00E81C74"/>
    <w:rsid w:val="00E835D2"/>
    <w:rsid w:val="00E86028"/>
    <w:rsid w:val="00E86EEE"/>
    <w:rsid w:val="00E93860"/>
    <w:rsid w:val="00E97EAF"/>
    <w:rsid w:val="00EA00D0"/>
    <w:rsid w:val="00EA300B"/>
    <w:rsid w:val="00EA6B22"/>
    <w:rsid w:val="00EB61AE"/>
    <w:rsid w:val="00EC136D"/>
    <w:rsid w:val="00EC2E76"/>
    <w:rsid w:val="00EC634D"/>
    <w:rsid w:val="00ED589D"/>
    <w:rsid w:val="00EF7997"/>
    <w:rsid w:val="00F0119C"/>
    <w:rsid w:val="00F01800"/>
    <w:rsid w:val="00F030EF"/>
    <w:rsid w:val="00F04FED"/>
    <w:rsid w:val="00F10801"/>
    <w:rsid w:val="00F113ED"/>
    <w:rsid w:val="00F172D2"/>
    <w:rsid w:val="00F22645"/>
    <w:rsid w:val="00F2632A"/>
    <w:rsid w:val="00F301F1"/>
    <w:rsid w:val="00F3575D"/>
    <w:rsid w:val="00F36638"/>
    <w:rsid w:val="00F424DB"/>
    <w:rsid w:val="00F42D1D"/>
    <w:rsid w:val="00F450B3"/>
    <w:rsid w:val="00F46E88"/>
    <w:rsid w:val="00F54513"/>
    <w:rsid w:val="00F66140"/>
    <w:rsid w:val="00F705AA"/>
    <w:rsid w:val="00F712B2"/>
    <w:rsid w:val="00F720D5"/>
    <w:rsid w:val="00F734A4"/>
    <w:rsid w:val="00F7558A"/>
    <w:rsid w:val="00F756A8"/>
    <w:rsid w:val="00F76A3D"/>
    <w:rsid w:val="00F77BC7"/>
    <w:rsid w:val="00F84132"/>
    <w:rsid w:val="00F847CB"/>
    <w:rsid w:val="00F84A49"/>
    <w:rsid w:val="00F854D9"/>
    <w:rsid w:val="00F911FF"/>
    <w:rsid w:val="00F938B4"/>
    <w:rsid w:val="00FA0FBA"/>
    <w:rsid w:val="00FA16F3"/>
    <w:rsid w:val="00FA1C37"/>
    <w:rsid w:val="00FA6ED5"/>
    <w:rsid w:val="00FB14F2"/>
    <w:rsid w:val="00FB1A67"/>
    <w:rsid w:val="00FB1A87"/>
    <w:rsid w:val="00FB2411"/>
    <w:rsid w:val="00FB5251"/>
    <w:rsid w:val="00FC7D8B"/>
    <w:rsid w:val="00FD2B80"/>
    <w:rsid w:val="00FD347D"/>
    <w:rsid w:val="00FE3755"/>
    <w:rsid w:val="00FE4CEA"/>
    <w:rsid w:val="00FE511B"/>
    <w:rsid w:val="00FF2A5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212FCC"/>
  <w15:chartTrackingRefBased/>
  <w15:docId w15:val="{A53A20D6-0B3B-4B0E-B682-96400E98E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22A4"/>
    <w:rPr>
      <w:sz w:val="24"/>
      <w:szCs w:val="24"/>
    </w:rPr>
  </w:style>
  <w:style w:type="paragraph" w:styleId="Titre1">
    <w:name w:val="heading 1"/>
    <w:basedOn w:val="Normal"/>
    <w:next w:val="Normal"/>
    <w:link w:val="Titre1Car"/>
    <w:qFormat/>
    <w:rsid w:val="00CC247C"/>
    <w:pPr>
      <w:numPr>
        <w:numId w:val="71"/>
      </w:numPr>
      <w:spacing w:before="100" w:beforeAutospacing="1" w:after="100" w:afterAutospacing="1"/>
      <w:jc w:val="both"/>
      <w:outlineLvl w:val="0"/>
    </w:pPr>
    <w:rPr>
      <w:rFonts w:ascii="Tw Cen MT" w:hAnsi="Tw Cen MT"/>
      <w:b/>
      <w:sz w:val="32"/>
      <w:szCs w:val="22"/>
    </w:rPr>
  </w:style>
  <w:style w:type="paragraph" w:styleId="Titre2">
    <w:name w:val="heading 2"/>
    <w:basedOn w:val="Titre1"/>
    <w:next w:val="Normal"/>
    <w:link w:val="Titre2Car"/>
    <w:qFormat/>
    <w:rsid w:val="00CC247C"/>
    <w:pPr>
      <w:numPr>
        <w:ilvl w:val="1"/>
      </w:numPr>
      <w:outlineLvl w:val="1"/>
    </w:pPr>
    <w:rPr>
      <w:i/>
    </w:rPr>
  </w:style>
  <w:style w:type="paragraph" w:styleId="Titre3">
    <w:name w:val="heading 3"/>
    <w:basedOn w:val="Normal"/>
    <w:next w:val="Normal"/>
    <w:link w:val="Titre3Car"/>
    <w:qFormat/>
    <w:rsid w:val="00DD22A4"/>
    <w:pPr>
      <w:keepNext/>
      <w:outlineLvl w:val="2"/>
    </w:pPr>
    <w:rPr>
      <w:i/>
      <w:iCs/>
    </w:rPr>
  </w:style>
  <w:style w:type="paragraph" w:styleId="Titre4">
    <w:name w:val="heading 4"/>
    <w:basedOn w:val="Normal"/>
    <w:next w:val="Normal"/>
    <w:qFormat/>
    <w:rsid w:val="00DD22A4"/>
    <w:pPr>
      <w:keepNext/>
      <w:outlineLvl w:val="3"/>
    </w:pPr>
    <w:rPr>
      <w:b/>
      <w:bCs/>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semiHidden/>
    <w:rsid w:val="00DD22A4"/>
    <w:pPr>
      <w:spacing w:after="240"/>
      <w:jc w:val="both"/>
    </w:pPr>
  </w:style>
  <w:style w:type="paragraph" w:styleId="Corpsdetexte2">
    <w:name w:val="Body Text 2"/>
    <w:basedOn w:val="Normal"/>
    <w:semiHidden/>
    <w:rsid w:val="00DD22A4"/>
    <w:pPr>
      <w:spacing w:before="240" w:after="120"/>
    </w:pPr>
    <w:rPr>
      <w:i/>
      <w:iCs/>
    </w:rPr>
  </w:style>
  <w:style w:type="paragraph" w:styleId="Titre">
    <w:name w:val="Title"/>
    <w:basedOn w:val="Normal"/>
    <w:qFormat/>
    <w:rsid w:val="00DD22A4"/>
    <w:pPr>
      <w:jc w:val="center"/>
    </w:pPr>
    <w:rPr>
      <w:u w:val="single"/>
    </w:rPr>
  </w:style>
  <w:style w:type="paragraph" w:styleId="Sous-titre">
    <w:name w:val="Subtitle"/>
    <w:basedOn w:val="Normal"/>
    <w:qFormat/>
    <w:rsid w:val="00DD22A4"/>
    <w:pPr>
      <w:jc w:val="center"/>
    </w:pPr>
    <w:rPr>
      <w:b/>
      <w:bCs/>
      <w:sz w:val="20"/>
    </w:rPr>
  </w:style>
  <w:style w:type="character" w:customStyle="1" w:styleId="Titre1Car">
    <w:name w:val="Titre 1 Car"/>
    <w:link w:val="Titre1"/>
    <w:rsid w:val="00CC247C"/>
    <w:rPr>
      <w:rFonts w:ascii="Tw Cen MT" w:hAnsi="Tw Cen MT"/>
      <w:b/>
      <w:sz w:val="32"/>
      <w:szCs w:val="22"/>
    </w:rPr>
  </w:style>
  <w:style w:type="character" w:customStyle="1" w:styleId="Titre2Car">
    <w:name w:val="Titre 2 Car"/>
    <w:link w:val="Titre2"/>
    <w:rsid w:val="00CC247C"/>
    <w:rPr>
      <w:rFonts w:ascii="Tw Cen MT" w:hAnsi="Tw Cen MT"/>
      <w:b/>
      <w:i/>
      <w:sz w:val="28"/>
      <w:szCs w:val="22"/>
    </w:rPr>
  </w:style>
  <w:style w:type="character" w:customStyle="1" w:styleId="Titre3Car">
    <w:name w:val="Titre 3 Car"/>
    <w:link w:val="Titre3"/>
    <w:rsid w:val="003E1AEF"/>
    <w:rPr>
      <w:i/>
      <w:iCs/>
      <w:sz w:val="24"/>
      <w:szCs w:val="24"/>
    </w:rPr>
  </w:style>
  <w:style w:type="paragraph" w:styleId="Pieddepage">
    <w:name w:val="footer"/>
    <w:basedOn w:val="Normal"/>
    <w:link w:val="PieddepageCar"/>
    <w:rsid w:val="003E1AEF"/>
    <w:pPr>
      <w:tabs>
        <w:tab w:val="center" w:pos="4536"/>
        <w:tab w:val="right" w:pos="9072"/>
      </w:tabs>
      <w:overflowPunct w:val="0"/>
      <w:autoSpaceDE w:val="0"/>
      <w:autoSpaceDN w:val="0"/>
      <w:adjustRightInd w:val="0"/>
      <w:textAlignment w:val="baseline"/>
    </w:pPr>
    <w:rPr>
      <w:sz w:val="20"/>
      <w:szCs w:val="20"/>
    </w:rPr>
  </w:style>
  <w:style w:type="character" w:customStyle="1" w:styleId="PieddepageCar">
    <w:name w:val="Pied de page Car"/>
    <w:basedOn w:val="Policepardfaut"/>
    <w:link w:val="Pieddepage"/>
    <w:rsid w:val="003E1AEF"/>
  </w:style>
  <w:style w:type="paragraph" w:styleId="En-tte">
    <w:name w:val="header"/>
    <w:basedOn w:val="Normal"/>
    <w:link w:val="En-tteCar"/>
    <w:rsid w:val="003E1AEF"/>
    <w:pPr>
      <w:tabs>
        <w:tab w:val="center" w:pos="4536"/>
        <w:tab w:val="right" w:pos="9072"/>
      </w:tabs>
      <w:overflowPunct w:val="0"/>
      <w:autoSpaceDE w:val="0"/>
      <w:autoSpaceDN w:val="0"/>
      <w:adjustRightInd w:val="0"/>
      <w:textAlignment w:val="baseline"/>
    </w:pPr>
    <w:rPr>
      <w:sz w:val="20"/>
      <w:szCs w:val="20"/>
    </w:rPr>
  </w:style>
  <w:style w:type="character" w:customStyle="1" w:styleId="En-tteCar">
    <w:name w:val="En-tête Car"/>
    <w:basedOn w:val="Policepardfaut"/>
    <w:link w:val="En-tte"/>
    <w:rsid w:val="003E1AEF"/>
  </w:style>
  <w:style w:type="character" w:styleId="Numrodepage">
    <w:name w:val="page number"/>
    <w:basedOn w:val="Policepardfaut"/>
    <w:rsid w:val="003E1AEF"/>
  </w:style>
  <w:style w:type="character" w:styleId="MachinecrireHTML">
    <w:name w:val="HTML Typewriter"/>
    <w:rsid w:val="003E1AEF"/>
    <w:rPr>
      <w:rFonts w:ascii="Courier New" w:eastAsia="Arial Unicode MS" w:hAnsi="Courier New" w:cs="Courier New" w:hint="default"/>
      <w:sz w:val="20"/>
      <w:szCs w:val="20"/>
    </w:rPr>
  </w:style>
  <w:style w:type="paragraph" w:styleId="Textedebulles">
    <w:name w:val="Balloon Text"/>
    <w:basedOn w:val="Normal"/>
    <w:link w:val="TextedebullesCar"/>
    <w:uiPriority w:val="99"/>
    <w:semiHidden/>
    <w:unhideWhenUsed/>
    <w:rsid w:val="003E1AEF"/>
    <w:rPr>
      <w:rFonts w:ascii="Tahoma" w:hAnsi="Tahoma" w:cs="Tahoma"/>
      <w:sz w:val="16"/>
      <w:szCs w:val="16"/>
    </w:rPr>
  </w:style>
  <w:style w:type="character" w:customStyle="1" w:styleId="TextedebullesCar">
    <w:name w:val="Texte de bulles Car"/>
    <w:link w:val="Textedebulles"/>
    <w:uiPriority w:val="99"/>
    <w:semiHidden/>
    <w:rsid w:val="003E1AEF"/>
    <w:rPr>
      <w:rFonts w:ascii="Tahoma" w:hAnsi="Tahoma" w:cs="Tahoma"/>
      <w:sz w:val="16"/>
      <w:szCs w:val="16"/>
    </w:rPr>
  </w:style>
  <w:style w:type="paragraph" w:styleId="Notedebasdepage">
    <w:name w:val="footnote text"/>
    <w:aliases w:val="Texte de note de bas de page,Footnotes,Fußnote,Geneva 9,Font: Geneva 9,Boston 10,f,Fußnotentextf,Footnote Text Blue,Fuﬂnotentextf,Footnote,Footnote Text Char1 Char,Footnote Text Char Char Char,Footnote Text Char1 Char Char Char,fn,ft"/>
    <w:basedOn w:val="Normal"/>
    <w:link w:val="NotedebasdepageCar"/>
    <w:qFormat/>
    <w:rsid w:val="00A960A1"/>
    <w:rPr>
      <w:sz w:val="20"/>
      <w:szCs w:val="20"/>
    </w:rPr>
  </w:style>
  <w:style w:type="character" w:customStyle="1" w:styleId="NotedebasdepageCar">
    <w:name w:val="Note de bas de page Car"/>
    <w:aliases w:val="Texte de note de bas de page Car,Footnotes Car,Fußnote Car,Geneva 9 Car,Font: Geneva 9 Car,Boston 10 Car,f Car,Fußnotentextf Car,Footnote Text Blue Car,Fuﬂnotentextf Car,Footnote Car,Footnote Text Char1 Char Car,fn Car,ft Car"/>
    <w:basedOn w:val="Policepardfaut"/>
    <w:link w:val="Notedebasdepage"/>
    <w:rsid w:val="00A960A1"/>
  </w:style>
  <w:style w:type="character" w:styleId="Appelnotedebasdep">
    <w:name w:val="footnote reference"/>
    <w:aliases w:val="ftref,ftref Char,BVI fnr Char,BVI fnr Car Char,Char Char Car Char,Char Char Char Char Char Char Char Char Char Char Char Char Char Char Char Char Char Char Char Char Car Char,16 Point Char,Error-Fußnotenzeichen5,note bp Char,BVI"/>
    <w:qFormat/>
    <w:rsid w:val="00A960A1"/>
    <w:rPr>
      <w:vertAlign w:val="superscript"/>
    </w:rPr>
  </w:style>
  <w:style w:type="paragraph" w:customStyle="1" w:styleId="Default">
    <w:name w:val="Default"/>
    <w:rsid w:val="00F854D9"/>
    <w:pPr>
      <w:autoSpaceDE w:val="0"/>
      <w:autoSpaceDN w:val="0"/>
      <w:adjustRightInd w:val="0"/>
    </w:pPr>
    <w:rPr>
      <w:color w:val="000000"/>
      <w:sz w:val="24"/>
      <w:szCs w:val="24"/>
    </w:rPr>
  </w:style>
  <w:style w:type="character" w:styleId="Marquedecommentaire">
    <w:name w:val="annotation reference"/>
    <w:rsid w:val="00774664"/>
    <w:rPr>
      <w:sz w:val="16"/>
      <w:szCs w:val="16"/>
    </w:rPr>
  </w:style>
  <w:style w:type="paragraph" w:styleId="Commentaire">
    <w:name w:val="annotation text"/>
    <w:basedOn w:val="Normal"/>
    <w:link w:val="CommentaireCar"/>
    <w:rsid w:val="00774664"/>
    <w:rPr>
      <w:sz w:val="20"/>
      <w:szCs w:val="20"/>
    </w:rPr>
  </w:style>
  <w:style w:type="paragraph" w:styleId="Objetducommentaire">
    <w:name w:val="annotation subject"/>
    <w:basedOn w:val="Commentaire"/>
    <w:next w:val="Commentaire"/>
    <w:semiHidden/>
    <w:rsid w:val="00DF2C18"/>
    <w:rPr>
      <w:b/>
      <w:bCs/>
    </w:rPr>
  </w:style>
  <w:style w:type="paragraph" w:styleId="Textebrut">
    <w:name w:val="Plain Text"/>
    <w:basedOn w:val="Normal"/>
    <w:rsid w:val="007467B6"/>
    <w:rPr>
      <w:rFonts w:ascii="Courier New" w:hAnsi="Courier New"/>
      <w:sz w:val="20"/>
      <w:szCs w:val="20"/>
    </w:rPr>
  </w:style>
  <w:style w:type="paragraph" w:customStyle="1" w:styleId="Normal11pt">
    <w:name w:val="Normal + 11 pt"/>
    <w:aliases w:val="Justifié,Après : 6 pt"/>
    <w:basedOn w:val="Normal"/>
    <w:rsid w:val="007467B6"/>
    <w:pPr>
      <w:spacing w:after="120"/>
      <w:jc w:val="both"/>
    </w:pPr>
    <w:rPr>
      <w:sz w:val="22"/>
      <w:szCs w:val="22"/>
    </w:rPr>
  </w:style>
  <w:style w:type="paragraph" w:styleId="NormalWeb">
    <w:name w:val="Normal (Web)"/>
    <w:basedOn w:val="Normal"/>
    <w:rsid w:val="009A79A4"/>
    <w:pPr>
      <w:spacing w:before="100" w:beforeAutospacing="1" w:after="100" w:afterAutospacing="1"/>
    </w:pPr>
  </w:style>
  <w:style w:type="character" w:customStyle="1" w:styleId="apple-converted-space">
    <w:name w:val="apple-converted-space"/>
    <w:basedOn w:val="Policepardfaut"/>
    <w:rsid w:val="00F0119C"/>
  </w:style>
  <w:style w:type="character" w:customStyle="1" w:styleId="CommentaireCar">
    <w:name w:val="Commentaire Car"/>
    <w:link w:val="Commentaire"/>
    <w:rsid w:val="00290730"/>
  </w:style>
  <w:style w:type="paragraph" w:styleId="Paragraphedeliste">
    <w:name w:val="List Paragraph"/>
    <w:aliases w:val="Liste 1,References,ReferencesCxSpLast,Bullets,List Paragraph1,List Paragraph (numbered (a)),Medium Grid 1 - Accent 21,Numbered List Paragraph,Bullet Answer,List Paragraph11,IFCL - List Paragraph,List Paragraph nowy,123 List Paragraph"/>
    <w:basedOn w:val="Normal"/>
    <w:link w:val="ParagraphedelisteCar"/>
    <w:uiPriority w:val="34"/>
    <w:qFormat/>
    <w:rsid w:val="00351124"/>
    <w:pPr>
      <w:spacing w:after="200" w:line="276" w:lineRule="auto"/>
      <w:ind w:left="720"/>
      <w:contextualSpacing/>
    </w:pPr>
    <w:rPr>
      <w:rFonts w:ascii="Calibri" w:hAnsi="Calibri" w:cs="Arial"/>
      <w:sz w:val="22"/>
      <w:szCs w:val="22"/>
    </w:rPr>
  </w:style>
  <w:style w:type="paragraph" w:styleId="Retraitcorpsdetexte">
    <w:name w:val="Body Text Indent"/>
    <w:basedOn w:val="Normal"/>
    <w:link w:val="RetraitcorpsdetexteCar"/>
    <w:uiPriority w:val="99"/>
    <w:unhideWhenUsed/>
    <w:rsid w:val="00471C1D"/>
    <w:pPr>
      <w:spacing w:after="120" w:line="276" w:lineRule="auto"/>
      <w:ind w:left="283"/>
    </w:pPr>
    <w:rPr>
      <w:rFonts w:ascii="Calibri" w:hAnsi="Calibri" w:cs="Arial"/>
      <w:sz w:val="22"/>
      <w:szCs w:val="22"/>
    </w:rPr>
  </w:style>
  <w:style w:type="character" w:customStyle="1" w:styleId="RetraitcorpsdetexteCar">
    <w:name w:val="Retrait corps de texte Car"/>
    <w:link w:val="Retraitcorpsdetexte"/>
    <w:uiPriority w:val="99"/>
    <w:rsid w:val="00471C1D"/>
    <w:rPr>
      <w:rFonts w:ascii="Calibri" w:hAnsi="Calibri" w:cs="Arial"/>
      <w:sz w:val="22"/>
      <w:szCs w:val="22"/>
    </w:rPr>
  </w:style>
  <w:style w:type="character" w:customStyle="1" w:styleId="ParagraphedelisteCar">
    <w:name w:val="Paragraphe de liste Car"/>
    <w:aliases w:val="Liste 1 Car,References Car,ReferencesCxSpLast Car,Bullets Car,List Paragraph1 Car,List Paragraph (numbered (a)) Car,Medium Grid 1 - Accent 21 Car,Numbered List Paragraph Car,Bullet Answer Car,List Paragraph11 Car"/>
    <w:link w:val="Paragraphedeliste"/>
    <w:uiPriority w:val="34"/>
    <w:qFormat/>
    <w:locked/>
    <w:rsid w:val="00824436"/>
    <w:rPr>
      <w:rFonts w:ascii="Calibri" w:hAnsi="Calibri" w:cs="Arial"/>
      <w:sz w:val="22"/>
      <w:szCs w:val="22"/>
    </w:rPr>
  </w:style>
  <w:style w:type="character" w:styleId="Accentuation">
    <w:name w:val="Emphasis"/>
    <w:uiPriority w:val="20"/>
    <w:qFormat/>
    <w:rsid w:val="00C050D7"/>
    <w:rPr>
      <w:i/>
      <w:iCs/>
    </w:rPr>
  </w:style>
  <w:style w:type="paragraph" w:styleId="PrformatHTML">
    <w:name w:val="HTML Preformatted"/>
    <w:basedOn w:val="Normal"/>
    <w:link w:val="PrformatHTMLCar"/>
    <w:uiPriority w:val="99"/>
    <w:rsid w:val="004C28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sz w:val="20"/>
      <w:szCs w:val="20"/>
    </w:rPr>
  </w:style>
  <w:style w:type="character" w:customStyle="1" w:styleId="PrformatHTMLCar">
    <w:name w:val="Préformaté HTML Car"/>
    <w:link w:val="PrformatHTML"/>
    <w:uiPriority w:val="99"/>
    <w:rsid w:val="004C2838"/>
    <w:rPr>
      <w:rFonts w:ascii="Courier New" w:eastAsia="Arial Unicode MS" w:hAnsi="Courier New"/>
    </w:rPr>
  </w:style>
  <w:style w:type="paragraph" w:customStyle="1" w:styleId="Normalgras">
    <w:name w:val="Normal gras"/>
    <w:basedOn w:val="Normal"/>
    <w:rsid w:val="004C2838"/>
    <w:pPr>
      <w:spacing w:after="80"/>
      <w:jc w:val="both"/>
    </w:pPr>
    <w:rPr>
      <w:rFonts w:ascii="Times New Roman Gras" w:hAnsi="Times New Roman Gras"/>
      <w:b/>
      <w:szCs w:val="20"/>
    </w:rPr>
  </w:style>
  <w:style w:type="character" w:styleId="Lienhypertexte">
    <w:name w:val="Hyperlink"/>
    <w:uiPriority w:val="99"/>
    <w:unhideWhenUsed/>
    <w:rsid w:val="00E46D41"/>
    <w:rPr>
      <w:color w:val="0563C1"/>
      <w:u w:val="single"/>
    </w:rPr>
  </w:style>
  <w:style w:type="paragraph" w:customStyle="1" w:styleId="corpstexte">
    <w:name w:val="corps texte"/>
    <w:basedOn w:val="Normal"/>
    <w:link w:val="corpstexteCar"/>
    <w:qFormat/>
    <w:rsid w:val="00AF3493"/>
    <w:pPr>
      <w:spacing w:before="120" w:after="120"/>
      <w:jc w:val="both"/>
    </w:pPr>
    <w:rPr>
      <w:szCs w:val="20"/>
    </w:rPr>
  </w:style>
  <w:style w:type="character" w:customStyle="1" w:styleId="corpstexteCar">
    <w:name w:val="corps texte Car"/>
    <w:link w:val="corpstexte"/>
    <w:rsid w:val="00AF3493"/>
    <w:rPr>
      <w:sz w:val="24"/>
    </w:rPr>
  </w:style>
  <w:style w:type="character" w:styleId="lev">
    <w:name w:val="Strong"/>
    <w:uiPriority w:val="22"/>
    <w:qFormat/>
    <w:rsid w:val="00B01A91"/>
    <w:rPr>
      <w:b/>
      <w:bCs/>
      <w:sz w:val="24"/>
      <w:u w:val="single"/>
    </w:rPr>
  </w:style>
  <w:style w:type="paragraph" w:styleId="Rvision">
    <w:name w:val="Revision"/>
    <w:hidden/>
    <w:uiPriority w:val="99"/>
    <w:semiHidden/>
    <w:rsid w:val="000F1A1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1016018">
      <w:bodyDiv w:val="1"/>
      <w:marLeft w:val="0"/>
      <w:marRight w:val="0"/>
      <w:marTop w:val="0"/>
      <w:marBottom w:val="0"/>
      <w:divBdr>
        <w:top w:val="none" w:sz="0" w:space="0" w:color="auto"/>
        <w:left w:val="none" w:sz="0" w:space="0" w:color="auto"/>
        <w:bottom w:val="none" w:sz="0" w:space="0" w:color="auto"/>
        <w:right w:val="none" w:sz="0" w:space="0" w:color="auto"/>
      </w:divBdr>
    </w:div>
    <w:div w:id="630986454">
      <w:bodyDiv w:val="1"/>
      <w:marLeft w:val="0"/>
      <w:marRight w:val="0"/>
      <w:marTop w:val="0"/>
      <w:marBottom w:val="0"/>
      <w:divBdr>
        <w:top w:val="none" w:sz="0" w:space="0" w:color="auto"/>
        <w:left w:val="none" w:sz="0" w:space="0" w:color="auto"/>
        <w:bottom w:val="none" w:sz="0" w:space="0" w:color="auto"/>
        <w:right w:val="none" w:sz="0" w:space="0" w:color="auto"/>
      </w:divBdr>
      <w:divsChild>
        <w:div w:id="422722328">
          <w:marLeft w:val="547"/>
          <w:marRight w:val="0"/>
          <w:marTop w:val="120"/>
          <w:marBottom w:val="0"/>
          <w:divBdr>
            <w:top w:val="none" w:sz="0" w:space="0" w:color="auto"/>
            <w:left w:val="none" w:sz="0" w:space="0" w:color="auto"/>
            <w:bottom w:val="none" w:sz="0" w:space="0" w:color="auto"/>
            <w:right w:val="none" w:sz="0" w:space="0" w:color="auto"/>
          </w:divBdr>
        </w:div>
        <w:div w:id="1487210384">
          <w:marLeft w:val="547"/>
          <w:marRight w:val="0"/>
          <w:marTop w:val="120"/>
          <w:marBottom w:val="160"/>
          <w:divBdr>
            <w:top w:val="none" w:sz="0" w:space="0" w:color="auto"/>
            <w:left w:val="none" w:sz="0" w:space="0" w:color="auto"/>
            <w:bottom w:val="none" w:sz="0" w:space="0" w:color="auto"/>
            <w:right w:val="none" w:sz="0" w:space="0" w:color="auto"/>
          </w:divBdr>
        </w:div>
      </w:divsChild>
    </w:div>
    <w:div w:id="712198985">
      <w:bodyDiv w:val="1"/>
      <w:marLeft w:val="0"/>
      <w:marRight w:val="0"/>
      <w:marTop w:val="0"/>
      <w:marBottom w:val="0"/>
      <w:divBdr>
        <w:top w:val="none" w:sz="0" w:space="0" w:color="auto"/>
        <w:left w:val="none" w:sz="0" w:space="0" w:color="auto"/>
        <w:bottom w:val="none" w:sz="0" w:space="0" w:color="auto"/>
        <w:right w:val="none" w:sz="0" w:space="0" w:color="auto"/>
      </w:divBdr>
    </w:div>
    <w:div w:id="1718357962">
      <w:bodyDiv w:val="1"/>
      <w:marLeft w:val="0"/>
      <w:marRight w:val="0"/>
      <w:marTop w:val="0"/>
      <w:marBottom w:val="0"/>
      <w:divBdr>
        <w:top w:val="none" w:sz="0" w:space="0" w:color="auto"/>
        <w:left w:val="none" w:sz="0" w:space="0" w:color="auto"/>
        <w:bottom w:val="none" w:sz="0" w:space="0" w:color="auto"/>
        <w:right w:val="none" w:sz="0" w:space="0" w:color="auto"/>
      </w:divBdr>
    </w:div>
    <w:div w:id="1824664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fd.fr/subventions" TargetMode="External"/><Relationship Id="rId13" Type="http://schemas.openxmlformats.org/officeDocument/2006/relationships/hyperlink" Target="http://www.proparco.fr/"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afd.fr/home/appui-renforcement-capacite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fd.fr/home/C2D" TargetMode="External"/><Relationship Id="rId5" Type="http://schemas.openxmlformats.org/officeDocument/2006/relationships/webSettings" Target="webSettings.xml"/><Relationship Id="rId15" Type="http://schemas.openxmlformats.org/officeDocument/2006/relationships/hyperlink" Target="http://www.afd.fr" TargetMode="External"/><Relationship Id="rId10" Type="http://schemas.openxmlformats.org/officeDocument/2006/relationships/hyperlink" Target="http://www.afd.fr/home/garantiesAFD"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afd.fr/home/AFD/op/edit/home/prets" TargetMode="External"/><Relationship Id="rId14" Type="http://schemas.openxmlformats.org/officeDocument/2006/relationships/hyperlink" Target="http://www.expertisefranc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2FC84E-3663-4B6C-9071-7E455D809F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9</Pages>
  <Words>4938</Words>
  <Characters>28273</Characters>
  <Application>Microsoft Office Word</Application>
  <DocSecurity>0</DocSecurity>
  <Lines>235</Lines>
  <Paragraphs>66</Paragraphs>
  <ScaleCrop>false</ScaleCrop>
  <HeadingPairs>
    <vt:vector size="2" baseType="variant">
      <vt:variant>
        <vt:lpstr>Titre</vt:lpstr>
      </vt:variant>
      <vt:variant>
        <vt:i4>1</vt:i4>
      </vt:variant>
    </vt:vector>
  </HeadingPairs>
  <TitlesOfParts>
    <vt:vector size="1" baseType="lpstr">
      <vt:lpstr>Termes de référence</vt:lpstr>
    </vt:vector>
  </TitlesOfParts>
  <Company>Ingénieurs de projet</Company>
  <LinksUpToDate>false</LinksUpToDate>
  <CharactersWithSpaces>33145</CharactersWithSpaces>
  <SharedDoc>false</SharedDoc>
  <HLinks>
    <vt:vector size="48" baseType="variant">
      <vt:variant>
        <vt:i4>6750314</vt:i4>
      </vt:variant>
      <vt:variant>
        <vt:i4>24</vt:i4>
      </vt:variant>
      <vt:variant>
        <vt:i4>0</vt:i4>
      </vt:variant>
      <vt:variant>
        <vt:i4>5</vt:i4>
      </vt:variant>
      <vt:variant>
        <vt:lpwstr>http://www.afd.fr/</vt:lpwstr>
      </vt:variant>
      <vt:variant>
        <vt:lpwstr/>
      </vt:variant>
      <vt:variant>
        <vt:i4>7340146</vt:i4>
      </vt:variant>
      <vt:variant>
        <vt:i4>21</vt:i4>
      </vt:variant>
      <vt:variant>
        <vt:i4>0</vt:i4>
      </vt:variant>
      <vt:variant>
        <vt:i4>5</vt:i4>
      </vt:variant>
      <vt:variant>
        <vt:lpwstr>http://www.expertisefrance.fr/</vt:lpwstr>
      </vt:variant>
      <vt:variant>
        <vt:lpwstr/>
      </vt:variant>
      <vt:variant>
        <vt:i4>6946857</vt:i4>
      </vt:variant>
      <vt:variant>
        <vt:i4>18</vt:i4>
      </vt:variant>
      <vt:variant>
        <vt:i4>0</vt:i4>
      </vt:variant>
      <vt:variant>
        <vt:i4>5</vt:i4>
      </vt:variant>
      <vt:variant>
        <vt:lpwstr>http://www.proparco.fr/</vt:lpwstr>
      </vt:variant>
      <vt:variant>
        <vt:lpwstr/>
      </vt:variant>
      <vt:variant>
        <vt:i4>2556009</vt:i4>
      </vt:variant>
      <vt:variant>
        <vt:i4>12</vt:i4>
      </vt:variant>
      <vt:variant>
        <vt:i4>0</vt:i4>
      </vt:variant>
      <vt:variant>
        <vt:i4>5</vt:i4>
      </vt:variant>
      <vt:variant>
        <vt:lpwstr>http://www.afd.fr/home/appui-renforcement-capacites</vt:lpwstr>
      </vt:variant>
      <vt:variant>
        <vt:lpwstr/>
      </vt:variant>
      <vt:variant>
        <vt:i4>6946930</vt:i4>
      </vt:variant>
      <vt:variant>
        <vt:i4>9</vt:i4>
      </vt:variant>
      <vt:variant>
        <vt:i4>0</vt:i4>
      </vt:variant>
      <vt:variant>
        <vt:i4>5</vt:i4>
      </vt:variant>
      <vt:variant>
        <vt:lpwstr>http://www.afd.fr/home/C2D</vt:lpwstr>
      </vt:variant>
      <vt:variant>
        <vt:lpwstr/>
      </vt:variant>
      <vt:variant>
        <vt:i4>6946864</vt:i4>
      </vt:variant>
      <vt:variant>
        <vt:i4>6</vt:i4>
      </vt:variant>
      <vt:variant>
        <vt:i4>0</vt:i4>
      </vt:variant>
      <vt:variant>
        <vt:i4>5</vt:i4>
      </vt:variant>
      <vt:variant>
        <vt:lpwstr>http://www.afd.fr/home/garantiesAFD</vt:lpwstr>
      </vt:variant>
      <vt:variant>
        <vt:lpwstr/>
      </vt:variant>
      <vt:variant>
        <vt:i4>1310789</vt:i4>
      </vt:variant>
      <vt:variant>
        <vt:i4>3</vt:i4>
      </vt:variant>
      <vt:variant>
        <vt:i4>0</vt:i4>
      </vt:variant>
      <vt:variant>
        <vt:i4>5</vt:i4>
      </vt:variant>
      <vt:variant>
        <vt:lpwstr>http://www.afd.fr/home/AFD/op/edit/home/prets</vt:lpwstr>
      </vt:variant>
      <vt:variant>
        <vt:lpwstr/>
      </vt:variant>
      <vt:variant>
        <vt:i4>851973</vt:i4>
      </vt:variant>
      <vt:variant>
        <vt:i4>0</vt:i4>
      </vt:variant>
      <vt:variant>
        <vt:i4>0</vt:i4>
      </vt:variant>
      <vt:variant>
        <vt:i4>5</vt:i4>
      </vt:variant>
      <vt:variant>
        <vt:lpwstr>http://www.afd.fr/subventions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Termes de référence</dc:title>
  <dc:subject/>
  <dc:creator>Votre nom d'utilisateur</dc:creator>
  <cp:keywords/>
  <cp:lastModifiedBy>BAHA Yanis</cp:lastModifiedBy>
  <cp:revision>7</cp:revision>
  <cp:lastPrinted>2024-10-03T16:28:00Z</cp:lastPrinted>
  <dcterms:created xsi:type="dcterms:W3CDTF">2025-10-09T14:45:00Z</dcterms:created>
  <dcterms:modified xsi:type="dcterms:W3CDTF">2025-10-30T16:12:00Z</dcterms:modified>
</cp:coreProperties>
</file>